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C1744" w14:textId="342EA660" w:rsidR="002F5503" w:rsidRPr="00961540" w:rsidRDefault="00335B60" w:rsidP="00231180">
      <w:pPr>
        <w:spacing w:line="276" w:lineRule="auto"/>
        <w:jc w:val="center"/>
        <w:rPr>
          <w:b/>
          <w:color w:val="000000" w:themeColor="text1"/>
          <w:lang w:val="es-MX"/>
        </w:rPr>
      </w:pPr>
      <w:r w:rsidRPr="00961540">
        <w:rPr>
          <w:b/>
          <w:color w:val="000000" w:themeColor="text1"/>
          <w:lang w:val="es-MX"/>
        </w:rPr>
        <w:t>RESOLUCIÓN TAT N</w:t>
      </w:r>
      <w:r w:rsidR="002F5503" w:rsidRPr="00961540">
        <w:rPr>
          <w:b/>
          <w:color w:val="000000" w:themeColor="text1"/>
          <w:lang w:val="es-MX"/>
        </w:rPr>
        <w:t>.</w:t>
      </w:r>
      <w:r w:rsidRPr="00961540">
        <w:rPr>
          <w:b/>
          <w:color w:val="000000" w:themeColor="text1"/>
          <w:lang w:val="es-MX"/>
        </w:rPr>
        <w:t xml:space="preserve"> </w:t>
      </w:r>
      <w:r w:rsidR="008A2E4A">
        <w:rPr>
          <w:b/>
          <w:color w:val="000000" w:themeColor="text1"/>
          <w:lang w:val="es-MX"/>
        </w:rPr>
        <w:t>4</w:t>
      </w:r>
      <w:r w:rsidR="00632599">
        <w:rPr>
          <w:b/>
          <w:color w:val="000000" w:themeColor="text1"/>
          <w:lang w:val="es-MX"/>
        </w:rPr>
        <w:t>082</w:t>
      </w:r>
      <w:r w:rsidRPr="00961540">
        <w:rPr>
          <w:b/>
          <w:color w:val="000000" w:themeColor="text1"/>
          <w:lang w:val="es-MX"/>
        </w:rPr>
        <w:t>-</w:t>
      </w:r>
      <w:r w:rsidR="002F5503" w:rsidRPr="00961540">
        <w:rPr>
          <w:b/>
          <w:color w:val="000000" w:themeColor="text1"/>
          <w:lang w:val="es-MX"/>
        </w:rPr>
        <w:t>20</w:t>
      </w:r>
      <w:r w:rsidR="009B33F6" w:rsidRPr="00961540">
        <w:rPr>
          <w:b/>
          <w:color w:val="000000" w:themeColor="text1"/>
          <w:lang w:val="es-MX"/>
        </w:rPr>
        <w:t>22</w:t>
      </w:r>
    </w:p>
    <w:p w14:paraId="7FC56B9C" w14:textId="2F00AB39" w:rsidR="002F5503" w:rsidRDefault="002F5503" w:rsidP="00231180">
      <w:pPr>
        <w:spacing w:line="276" w:lineRule="auto"/>
        <w:jc w:val="center"/>
        <w:rPr>
          <w:color w:val="000000" w:themeColor="text1"/>
        </w:rPr>
      </w:pPr>
    </w:p>
    <w:p w14:paraId="47B587AB" w14:textId="77777777" w:rsidR="00231180" w:rsidRPr="00961540" w:rsidRDefault="00231180" w:rsidP="00231180">
      <w:pPr>
        <w:spacing w:line="276" w:lineRule="auto"/>
        <w:jc w:val="center"/>
        <w:rPr>
          <w:color w:val="000000" w:themeColor="text1"/>
        </w:rPr>
      </w:pPr>
    </w:p>
    <w:p w14:paraId="5AE7B4CC" w14:textId="39BD33A9" w:rsidR="00632599" w:rsidRPr="00632599" w:rsidRDefault="002F5503" w:rsidP="00632599">
      <w:pPr>
        <w:pStyle w:val="Sinespaciado"/>
        <w:spacing w:line="276" w:lineRule="auto"/>
        <w:jc w:val="both"/>
        <w:rPr>
          <w:rFonts w:ascii="Times New Roman" w:hAnsi="Times New Roman"/>
          <w:color w:val="000000" w:themeColor="text1"/>
          <w:sz w:val="24"/>
          <w:szCs w:val="24"/>
        </w:rPr>
      </w:pPr>
      <w:r w:rsidRPr="00632599">
        <w:rPr>
          <w:rFonts w:ascii="Times New Roman" w:hAnsi="Times New Roman"/>
          <w:b/>
          <w:color w:val="000000" w:themeColor="text1"/>
          <w:sz w:val="24"/>
          <w:szCs w:val="24"/>
        </w:rPr>
        <w:t xml:space="preserve">TRIBUNAL ADMINISTRATIVO DE TRANSPORTE.  </w:t>
      </w:r>
      <w:r w:rsidR="00632599" w:rsidRPr="00632599">
        <w:rPr>
          <w:rFonts w:ascii="Times New Roman" w:hAnsi="Times New Roman"/>
          <w:bCs/>
          <w:color w:val="000000" w:themeColor="text1"/>
          <w:sz w:val="24"/>
          <w:szCs w:val="24"/>
        </w:rPr>
        <w:t xml:space="preserve">San José. </w:t>
      </w:r>
      <w:r w:rsidR="00D8249E" w:rsidRPr="00632599">
        <w:rPr>
          <w:rFonts w:ascii="Times New Roman" w:hAnsi="Times New Roman"/>
          <w:color w:val="000000" w:themeColor="text1"/>
          <w:sz w:val="24"/>
          <w:szCs w:val="24"/>
        </w:rPr>
        <w:t xml:space="preserve">a las </w:t>
      </w:r>
      <w:r w:rsidR="00632599" w:rsidRPr="00632599">
        <w:rPr>
          <w:rFonts w:ascii="Times New Roman" w:hAnsi="Times New Roman"/>
          <w:color w:val="000000" w:themeColor="text1"/>
          <w:sz w:val="24"/>
          <w:szCs w:val="24"/>
        </w:rPr>
        <w:t xml:space="preserve">a las ocho horas con </w:t>
      </w:r>
      <w:r w:rsidR="00051C6F">
        <w:rPr>
          <w:rFonts w:ascii="Times New Roman" w:hAnsi="Times New Roman"/>
          <w:color w:val="000000" w:themeColor="text1"/>
          <w:sz w:val="24"/>
          <w:szCs w:val="24"/>
        </w:rPr>
        <w:t>cinco</w:t>
      </w:r>
      <w:r w:rsidR="00632599" w:rsidRPr="00632599">
        <w:rPr>
          <w:rFonts w:ascii="Times New Roman" w:hAnsi="Times New Roman"/>
          <w:color w:val="000000" w:themeColor="text1"/>
          <w:sz w:val="24"/>
          <w:szCs w:val="24"/>
        </w:rPr>
        <w:t xml:space="preserve"> minutos del ocho de junio de dos mil veintitrés.</w:t>
      </w:r>
    </w:p>
    <w:p w14:paraId="41C5673B" w14:textId="060FEDA0" w:rsidR="002F5503" w:rsidRPr="00632599" w:rsidRDefault="002F5503" w:rsidP="00632599">
      <w:pPr>
        <w:spacing w:line="276" w:lineRule="auto"/>
        <w:jc w:val="both"/>
        <w:rPr>
          <w:color w:val="000000" w:themeColor="text1"/>
        </w:rPr>
      </w:pPr>
    </w:p>
    <w:p w14:paraId="4D160F9C" w14:textId="260C6A46" w:rsidR="002F5503" w:rsidRPr="00961540" w:rsidRDefault="00C967BE" w:rsidP="00632599">
      <w:pPr>
        <w:spacing w:line="276" w:lineRule="auto"/>
        <w:jc w:val="both"/>
        <w:rPr>
          <w:b/>
          <w:color w:val="000000" w:themeColor="text1"/>
        </w:rPr>
      </w:pPr>
      <w:r w:rsidRPr="00632599">
        <w:rPr>
          <w:rStyle w:val="CharacterStyle1"/>
          <w:bCs/>
          <w:color w:val="000000" w:themeColor="text1"/>
          <w:spacing w:val="3"/>
        </w:rPr>
        <w:t xml:space="preserve">Se conoce </w:t>
      </w:r>
      <w:bookmarkStart w:id="0" w:name="_Hlk3444395"/>
      <w:r w:rsidR="00051C6F" w:rsidRPr="00632599">
        <w:rPr>
          <w:b/>
          <w:smallCaps/>
          <w:color w:val="000000" w:themeColor="text1"/>
        </w:rPr>
        <w:t>RECURSO DE APELACIÓN</w:t>
      </w:r>
      <w:r w:rsidR="00051C6F" w:rsidRPr="00961540">
        <w:rPr>
          <w:b/>
          <w:smallCaps/>
          <w:color w:val="000000" w:themeColor="text1"/>
        </w:rPr>
        <w:t xml:space="preserve"> </w:t>
      </w:r>
      <w:bookmarkEnd w:id="0"/>
      <w:r w:rsidR="00051C6F" w:rsidRPr="00961540">
        <w:rPr>
          <w:b/>
          <w:smallCaps/>
          <w:color w:val="000000" w:themeColor="text1"/>
        </w:rPr>
        <w:t>PARCIAL EN SUBSIDIO</w:t>
      </w:r>
      <w:r w:rsidR="00A47FB4" w:rsidRPr="00961540">
        <w:rPr>
          <w:b/>
          <w:smallCaps/>
          <w:color w:val="000000" w:themeColor="text1"/>
        </w:rPr>
        <w:t xml:space="preserve"> </w:t>
      </w:r>
      <w:r w:rsidR="00A47FB4" w:rsidRPr="00961540">
        <w:rPr>
          <w:color w:val="000000" w:themeColor="text1"/>
        </w:rPr>
        <w:t xml:space="preserve">interpuesto por </w:t>
      </w:r>
      <w:r w:rsidR="00E638B5">
        <w:rPr>
          <w:b/>
          <w:smallCaps/>
          <w:color w:val="000000" w:themeColor="text1"/>
        </w:rPr>
        <w:t>TPCQ</w:t>
      </w:r>
      <w:r w:rsidR="00051C6F" w:rsidRPr="00961540">
        <w:rPr>
          <w:b/>
          <w:smallCaps/>
          <w:color w:val="000000" w:themeColor="text1"/>
        </w:rPr>
        <w:t xml:space="preserve"> S.A</w:t>
      </w:r>
      <w:r w:rsidR="00996A68">
        <w:rPr>
          <w:bCs/>
          <w:smallCaps/>
          <w:color w:val="000000" w:themeColor="text1"/>
        </w:rPr>
        <w:t>;</w:t>
      </w:r>
      <w:r w:rsidR="00A47FB4" w:rsidRPr="00961540">
        <w:rPr>
          <w:b/>
          <w:smallCaps/>
          <w:color w:val="000000" w:themeColor="text1"/>
        </w:rPr>
        <w:t xml:space="preserve"> </w:t>
      </w:r>
      <w:r w:rsidR="00A47FB4" w:rsidRPr="00961540">
        <w:rPr>
          <w:color w:val="000000" w:themeColor="text1"/>
        </w:rPr>
        <w:t xml:space="preserve">cédula jurídica número </w:t>
      </w:r>
      <w:r w:rsidR="00E638B5">
        <w:rPr>
          <w:color w:val="000000" w:themeColor="text1"/>
        </w:rPr>
        <w:t>0-000</w:t>
      </w:r>
      <w:r w:rsidR="00A47FB4" w:rsidRPr="00961540">
        <w:rPr>
          <w:color w:val="000000" w:themeColor="text1"/>
        </w:rPr>
        <w:t>,</w:t>
      </w:r>
      <w:r w:rsidR="00A47FB4" w:rsidRPr="00961540">
        <w:rPr>
          <w:b/>
          <w:color w:val="000000" w:themeColor="text1"/>
        </w:rPr>
        <w:t xml:space="preserve"> </w:t>
      </w:r>
      <w:r w:rsidR="00A47FB4" w:rsidRPr="00961540">
        <w:rPr>
          <w:color w:val="000000" w:themeColor="text1"/>
        </w:rPr>
        <w:t xml:space="preserve">representada por </w:t>
      </w:r>
      <w:r w:rsidR="00E638B5">
        <w:rPr>
          <w:b/>
          <w:bCs/>
          <w:color w:val="000000" w:themeColor="text1"/>
        </w:rPr>
        <w:t>LICS</w:t>
      </w:r>
      <w:r w:rsidR="00A47FB4" w:rsidRPr="00961540">
        <w:rPr>
          <w:color w:val="000000" w:themeColor="text1"/>
        </w:rPr>
        <w:t xml:space="preserve">, cédula de identidad </w:t>
      </w:r>
      <w:r w:rsidR="00E638B5">
        <w:rPr>
          <w:color w:val="000000" w:themeColor="text1"/>
        </w:rPr>
        <w:t>0-000</w:t>
      </w:r>
      <w:r w:rsidR="00A47FB4" w:rsidRPr="00961540">
        <w:rPr>
          <w:color w:val="000000" w:themeColor="text1"/>
        </w:rPr>
        <w:t xml:space="preserve">, en su condición de apoderada generalísima sin límite de suma; en contra del </w:t>
      </w:r>
      <w:r w:rsidR="00A47FB4" w:rsidRPr="00961540">
        <w:rPr>
          <w:b/>
          <w:color w:val="000000" w:themeColor="text1"/>
        </w:rPr>
        <w:t xml:space="preserve">Artículo 3.2 de la Sesión Ordinaria 61-2021 de 12 de agosto de 2021 </w:t>
      </w:r>
      <w:r w:rsidR="00A47FB4" w:rsidRPr="00961540">
        <w:rPr>
          <w:color w:val="000000" w:themeColor="text1"/>
        </w:rPr>
        <w:t>emitido por la Junta Directiva del Consejo de Transporte Público y su informe CTP-DT-DING-INF-235-2021</w:t>
      </w:r>
      <w:r w:rsidRPr="00961540">
        <w:rPr>
          <w:color w:val="000000" w:themeColor="text1"/>
        </w:rPr>
        <w:t xml:space="preserve">, tramitado en este </w:t>
      </w:r>
      <w:r w:rsidR="00A47FB4" w:rsidRPr="00961540">
        <w:rPr>
          <w:color w:val="000000" w:themeColor="text1"/>
        </w:rPr>
        <w:t>Tribunal</w:t>
      </w:r>
      <w:r w:rsidRPr="00961540">
        <w:rPr>
          <w:color w:val="000000" w:themeColor="text1"/>
        </w:rPr>
        <w:t xml:space="preserve"> bajo el </w:t>
      </w:r>
      <w:r w:rsidR="00051C6F" w:rsidRPr="00961540">
        <w:rPr>
          <w:b/>
          <w:color w:val="000000" w:themeColor="text1"/>
        </w:rPr>
        <w:t xml:space="preserve">Expediente </w:t>
      </w:r>
      <w:r w:rsidRPr="00961540">
        <w:rPr>
          <w:b/>
          <w:color w:val="000000" w:themeColor="text1"/>
        </w:rPr>
        <w:t xml:space="preserve">administrativo </w:t>
      </w:r>
      <w:r w:rsidR="00A47FB4" w:rsidRPr="00961540">
        <w:rPr>
          <w:b/>
          <w:color w:val="000000" w:themeColor="text1"/>
        </w:rPr>
        <w:t>TAT-068-22</w:t>
      </w:r>
      <w:r w:rsidR="002F5503" w:rsidRPr="00961540">
        <w:rPr>
          <w:b/>
          <w:color w:val="000000" w:themeColor="text1"/>
        </w:rPr>
        <w:t>.</w:t>
      </w:r>
    </w:p>
    <w:p w14:paraId="6261B0F5" w14:textId="77777777" w:rsidR="002F5503" w:rsidRPr="00961540" w:rsidRDefault="002F5503" w:rsidP="00231180">
      <w:pPr>
        <w:spacing w:line="276" w:lineRule="auto"/>
        <w:jc w:val="both"/>
        <w:rPr>
          <w:b/>
          <w:color w:val="000000" w:themeColor="text1"/>
        </w:rPr>
      </w:pPr>
    </w:p>
    <w:p w14:paraId="58CE8650" w14:textId="77777777" w:rsidR="002F5503" w:rsidRPr="00961540" w:rsidRDefault="002F5503" w:rsidP="00231180">
      <w:pPr>
        <w:spacing w:line="276" w:lineRule="auto"/>
        <w:jc w:val="center"/>
        <w:rPr>
          <w:b/>
          <w:color w:val="000000" w:themeColor="text1"/>
        </w:rPr>
      </w:pPr>
      <w:r w:rsidRPr="00961540">
        <w:rPr>
          <w:b/>
          <w:color w:val="000000" w:themeColor="text1"/>
        </w:rPr>
        <w:t>RESULTANDO</w:t>
      </w:r>
    </w:p>
    <w:p w14:paraId="060386B4" w14:textId="77777777" w:rsidR="002F5503" w:rsidRPr="00961540" w:rsidRDefault="002F5503" w:rsidP="00231180">
      <w:pPr>
        <w:spacing w:line="276" w:lineRule="auto"/>
        <w:jc w:val="center"/>
        <w:rPr>
          <w:b/>
          <w:color w:val="000000" w:themeColor="text1"/>
        </w:rPr>
      </w:pPr>
    </w:p>
    <w:p w14:paraId="5053607C" w14:textId="22F091A2" w:rsidR="002F5503" w:rsidRPr="00961540" w:rsidRDefault="0012502B" w:rsidP="00231180">
      <w:pPr>
        <w:spacing w:line="276" w:lineRule="auto"/>
        <w:jc w:val="both"/>
        <w:rPr>
          <w:color w:val="000000" w:themeColor="text1"/>
        </w:rPr>
      </w:pPr>
      <w:r w:rsidRPr="00961540">
        <w:rPr>
          <w:b/>
          <w:color w:val="000000" w:themeColor="text1"/>
        </w:rPr>
        <w:t>PRIMERO. -</w:t>
      </w:r>
      <w:r w:rsidR="002F5503" w:rsidRPr="00961540">
        <w:rPr>
          <w:b/>
          <w:color w:val="000000" w:themeColor="text1"/>
        </w:rPr>
        <w:t xml:space="preserve"> </w:t>
      </w:r>
      <w:r w:rsidR="000A5F29" w:rsidRPr="00961540">
        <w:rPr>
          <w:color w:val="000000" w:themeColor="text1"/>
        </w:rPr>
        <w:t>La Junta Directiva del Consejo de Transporte Público m</w:t>
      </w:r>
      <w:r w:rsidR="002F5503" w:rsidRPr="00961540">
        <w:rPr>
          <w:color w:val="000000" w:themeColor="text1"/>
        </w:rPr>
        <w:t xml:space="preserve">ediante </w:t>
      </w:r>
      <w:r w:rsidR="00A47FB4" w:rsidRPr="00961540">
        <w:rPr>
          <w:b/>
          <w:color w:val="000000" w:themeColor="text1"/>
        </w:rPr>
        <w:t xml:space="preserve">Artículo 3.2 de la Sesión Ordinaria 61-2021 </w:t>
      </w:r>
      <w:r w:rsidR="008D576D">
        <w:rPr>
          <w:b/>
          <w:color w:val="000000" w:themeColor="text1"/>
        </w:rPr>
        <w:t>de 12 de agosto de 2021</w:t>
      </w:r>
      <w:r w:rsidR="002F5503" w:rsidRPr="00961540">
        <w:rPr>
          <w:color w:val="000000" w:themeColor="text1"/>
        </w:rPr>
        <w:t xml:space="preserve">, </w:t>
      </w:r>
      <w:r w:rsidR="005C66DB" w:rsidRPr="00961540">
        <w:rPr>
          <w:color w:val="000000" w:themeColor="text1"/>
        </w:rPr>
        <w:t>acuerda</w:t>
      </w:r>
      <w:r w:rsidR="000A5F29" w:rsidRPr="00961540">
        <w:rPr>
          <w:color w:val="000000" w:themeColor="text1"/>
        </w:rPr>
        <w:t xml:space="preserve"> lo siguiente:</w:t>
      </w:r>
      <w:r w:rsidR="002F5503" w:rsidRPr="00961540">
        <w:rPr>
          <w:color w:val="000000" w:themeColor="text1"/>
        </w:rPr>
        <w:t xml:space="preserve"> </w:t>
      </w:r>
    </w:p>
    <w:p w14:paraId="29A95E9F" w14:textId="77777777" w:rsidR="000A5F29" w:rsidRPr="00231180" w:rsidRDefault="000A5F29" w:rsidP="00961540">
      <w:pPr>
        <w:pStyle w:val="Default"/>
        <w:spacing w:line="276" w:lineRule="auto"/>
        <w:jc w:val="both"/>
        <w:rPr>
          <w:rFonts w:ascii="Times New Roman" w:hAnsi="Times New Roman" w:cs="Times New Roman"/>
          <w:color w:val="000000" w:themeColor="text1"/>
          <w:sz w:val="18"/>
          <w:szCs w:val="18"/>
        </w:rPr>
      </w:pPr>
    </w:p>
    <w:p w14:paraId="619FD0FA" w14:textId="29C9A992" w:rsidR="000A5F29" w:rsidRPr="00231180" w:rsidRDefault="000A5F29" w:rsidP="00231180">
      <w:pPr>
        <w:pStyle w:val="Default"/>
        <w:ind w:left="851" w:right="567" w:hanging="284"/>
        <w:jc w:val="both"/>
        <w:rPr>
          <w:rFonts w:ascii="Times New Roman" w:hAnsi="Times New Roman" w:cs="Times New Roman"/>
          <w:b/>
          <w:bCs/>
          <w:color w:val="000000" w:themeColor="text1"/>
          <w:sz w:val="20"/>
          <w:szCs w:val="20"/>
        </w:rPr>
      </w:pPr>
      <w:r w:rsidRPr="00231180">
        <w:rPr>
          <w:rFonts w:ascii="Times New Roman" w:hAnsi="Times New Roman" w:cs="Times New Roman"/>
          <w:color w:val="000000" w:themeColor="text1"/>
          <w:sz w:val="20"/>
          <w:szCs w:val="20"/>
        </w:rPr>
        <w:t>“</w:t>
      </w:r>
      <w:r w:rsidR="00016A37" w:rsidRPr="00231180">
        <w:rPr>
          <w:rFonts w:ascii="Times New Roman" w:hAnsi="Times New Roman" w:cs="Times New Roman"/>
          <w:color w:val="000000" w:themeColor="text1"/>
          <w:sz w:val="20"/>
          <w:szCs w:val="20"/>
        </w:rPr>
        <w:t>(…)</w:t>
      </w:r>
      <w:r w:rsidR="00016A37" w:rsidRPr="00231180">
        <w:rPr>
          <w:rFonts w:ascii="Times New Roman" w:hAnsi="Times New Roman" w:cs="Times New Roman"/>
          <w:b/>
          <w:bCs/>
          <w:color w:val="000000" w:themeColor="text1"/>
          <w:sz w:val="20"/>
          <w:szCs w:val="20"/>
        </w:rPr>
        <w:t xml:space="preserve"> </w:t>
      </w:r>
      <w:r w:rsidRPr="00231180">
        <w:rPr>
          <w:rFonts w:ascii="Times New Roman" w:hAnsi="Times New Roman" w:cs="Times New Roman"/>
          <w:b/>
          <w:bCs/>
          <w:color w:val="000000" w:themeColor="text1"/>
          <w:sz w:val="20"/>
          <w:szCs w:val="20"/>
        </w:rPr>
        <w:t>POR TANTO SE ACUERDA</w:t>
      </w:r>
      <w:r w:rsidR="0097663B" w:rsidRPr="00231180">
        <w:rPr>
          <w:rFonts w:ascii="Times New Roman" w:hAnsi="Times New Roman" w:cs="Times New Roman"/>
          <w:b/>
          <w:bCs/>
          <w:color w:val="000000" w:themeColor="text1"/>
          <w:sz w:val="20"/>
          <w:szCs w:val="20"/>
        </w:rPr>
        <w:t>:</w:t>
      </w:r>
      <w:r w:rsidRPr="00231180">
        <w:rPr>
          <w:rFonts w:ascii="Times New Roman" w:hAnsi="Times New Roman" w:cs="Times New Roman"/>
          <w:b/>
          <w:bCs/>
          <w:color w:val="000000" w:themeColor="text1"/>
          <w:sz w:val="20"/>
          <w:szCs w:val="20"/>
        </w:rPr>
        <w:t xml:space="preserve"> </w:t>
      </w:r>
    </w:p>
    <w:p w14:paraId="4B20F125" w14:textId="77777777" w:rsidR="000A5F29" w:rsidRPr="00231180" w:rsidRDefault="000A5F29" w:rsidP="00231180">
      <w:pPr>
        <w:pStyle w:val="Default"/>
        <w:ind w:left="851" w:right="567" w:hanging="284"/>
        <w:jc w:val="both"/>
        <w:rPr>
          <w:rFonts w:ascii="Times New Roman" w:hAnsi="Times New Roman" w:cs="Times New Roman"/>
          <w:b/>
          <w:bCs/>
          <w:color w:val="000000" w:themeColor="text1"/>
          <w:sz w:val="20"/>
          <w:szCs w:val="20"/>
        </w:rPr>
      </w:pPr>
    </w:p>
    <w:p w14:paraId="155B3181" w14:textId="77777777" w:rsidR="00430262" w:rsidRPr="00231180" w:rsidRDefault="00430262" w:rsidP="00231180">
      <w:pPr>
        <w:pStyle w:val="Default"/>
        <w:numPr>
          <w:ilvl w:val="0"/>
          <w:numId w:val="1"/>
        </w:numPr>
        <w:ind w:left="851" w:right="567" w:hanging="284"/>
        <w:jc w:val="both"/>
        <w:rPr>
          <w:rFonts w:ascii="Times New Roman" w:hAnsi="Times New Roman" w:cs="Times New Roman"/>
          <w:color w:val="000000" w:themeColor="text1"/>
          <w:sz w:val="20"/>
          <w:szCs w:val="20"/>
        </w:rPr>
      </w:pPr>
      <w:r w:rsidRPr="00231180">
        <w:rPr>
          <w:rFonts w:ascii="Times New Roman" w:hAnsi="Times New Roman" w:cs="Times New Roman"/>
          <w:color w:val="000000" w:themeColor="text1"/>
          <w:sz w:val="20"/>
          <w:szCs w:val="20"/>
        </w:rPr>
        <w:t xml:space="preserve">Aprobar, basados en los fundamentos, motivos y contenidos, desarrollados en los considerandos del oficio </w:t>
      </w:r>
      <w:r w:rsidRPr="00231180">
        <w:rPr>
          <w:rFonts w:ascii="Times New Roman" w:hAnsi="Times New Roman" w:cs="Times New Roman"/>
          <w:b/>
          <w:bCs/>
          <w:color w:val="000000" w:themeColor="text1"/>
          <w:sz w:val="20"/>
          <w:szCs w:val="20"/>
        </w:rPr>
        <w:t>CTP-DT-DING-INF-0235-2021</w:t>
      </w:r>
      <w:r w:rsidRPr="00231180">
        <w:rPr>
          <w:rFonts w:ascii="Times New Roman" w:hAnsi="Times New Roman" w:cs="Times New Roman"/>
          <w:color w:val="000000" w:themeColor="text1"/>
          <w:sz w:val="20"/>
          <w:szCs w:val="20"/>
        </w:rPr>
        <w:t>, todas las recomendaciones emitidas en el informe dicho, el cual forma parte integral de este acuerdo.</w:t>
      </w:r>
    </w:p>
    <w:p w14:paraId="6DB3F6C6" w14:textId="447DE297" w:rsidR="00430262" w:rsidRPr="00231180" w:rsidRDefault="00430262" w:rsidP="00231180">
      <w:pPr>
        <w:pStyle w:val="Default"/>
        <w:numPr>
          <w:ilvl w:val="0"/>
          <w:numId w:val="1"/>
        </w:numPr>
        <w:ind w:left="851" w:right="567" w:hanging="284"/>
        <w:jc w:val="both"/>
        <w:rPr>
          <w:rFonts w:ascii="Times New Roman" w:hAnsi="Times New Roman" w:cs="Times New Roman"/>
          <w:color w:val="000000" w:themeColor="text1"/>
          <w:sz w:val="20"/>
          <w:szCs w:val="20"/>
        </w:rPr>
      </w:pPr>
      <w:bookmarkStart w:id="1" w:name="_Hlk111018606"/>
      <w:r w:rsidRPr="00231180">
        <w:rPr>
          <w:rFonts w:ascii="Times New Roman" w:hAnsi="Times New Roman" w:cs="Times New Roman"/>
          <w:color w:val="000000" w:themeColor="text1"/>
          <w:sz w:val="20"/>
          <w:szCs w:val="20"/>
        </w:rPr>
        <w:t xml:space="preserve">Autorizar, desde el punto de vista técnico, la unificación de los códigos de las Rutas Nº </w:t>
      </w:r>
      <w:r w:rsidR="00E638B5">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 xml:space="preserve"> y </w:t>
      </w:r>
      <w:r w:rsidR="00E638B5">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 xml:space="preserve">, operadas por la empresa </w:t>
      </w:r>
      <w:r w:rsidR="00E638B5">
        <w:rPr>
          <w:rFonts w:ascii="Times New Roman" w:hAnsi="Times New Roman" w:cs="Times New Roman"/>
          <w:b/>
          <w:bCs/>
          <w:color w:val="000000" w:themeColor="text1"/>
          <w:sz w:val="20"/>
          <w:szCs w:val="20"/>
        </w:rPr>
        <w:t>TPCQ</w:t>
      </w:r>
      <w:r w:rsidRPr="00231180">
        <w:rPr>
          <w:rFonts w:ascii="Times New Roman" w:hAnsi="Times New Roman" w:cs="Times New Roman"/>
          <w:b/>
          <w:bCs/>
          <w:color w:val="000000" w:themeColor="text1"/>
          <w:sz w:val="20"/>
          <w:szCs w:val="20"/>
        </w:rPr>
        <w:t xml:space="preserve"> S.A.</w:t>
      </w:r>
      <w:r w:rsidRPr="00231180">
        <w:rPr>
          <w:rFonts w:ascii="Times New Roman" w:hAnsi="Times New Roman" w:cs="Times New Roman"/>
          <w:color w:val="000000" w:themeColor="text1"/>
          <w:sz w:val="20"/>
          <w:szCs w:val="20"/>
        </w:rPr>
        <w:t xml:space="preserve">, bajo el </w:t>
      </w:r>
      <w:r w:rsidRPr="00231180">
        <w:rPr>
          <w:rFonts w:ascii="Times New Roman" w:hAnsi="Times New Roman" w:cs="Times New Roman"/>
          <w:b/>
          <w:bCs/>
          <w:color w:val="000000" w:themeColor="text1"/>
          <w:sz w:val="20"/>
          <w:szCs w:val="20"/>
        </w:rPr>
        <w:t xml:space="preserve">código único de Ruta N° </w:t>
      </w:r>
      <w:r w:rsidR="00E638B5">
        <w:rPr>
          <w:rFonts w:ascii="Times New Roman" w:hAnsi="Times New Roman" w:cs="Times New Roman"/>
          <w:b/>
          <w:bCs/>
          <w:color w:val="000000" w:themeColor="text1"/>
          <w:sz w:val="20"/>
          <w:szCs w:val="20"/>
        </w:rPr>
        <w:t>000</w:t>
      </w:r>
      <w:r w:rsidRPr="00231180">
        <w:rPr>
          <w:rFonts w:ascii="Times New Roman" w:hAnsi="Times New Roman" w:cs="Times New Roman"/>
          <w:color w:val="000000" w:themeColor="text1"/>
          <w:sz w:val="20"/>
          <w:szCs w:val="20"/>
        </w:rPr>
        <w:t>, descrita como “</w:t>
      </w:r>
      <w:r w:rsidR="00806A4B">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w:t>
      </w:r>
    </w:p>
    <w:p w14:paraId="2C0EFEBF" w14:textId="1A89B22E" w:rsidR="00430262" w:rsidRPr="00231180" w:rsidRDefault="00430262" w:rsidP="00231180">
      <w:pPr>
        <w:pStyle w:val="Default"/>
        <w:numPr>
          <w:ilvl w:val="0"/>
          <w:numId w:val="1"/>
        </w:numPr>
        <w:ind w:left="851" w:right="567" w:hanging="284"/>
        <w:jc w:val="both"/>
        <w:rPr>
          <w:rFonts w:ascii="Times New Roman" w:hAnsi="Times New Roman" w:cs="Times New Roman"/>
          <w:b/>
          <w:bCs/>
          <w:color w:val="000000" w:themeColor="text1"/>
          <w:sz w:val="20"/>
          <w:szCs w:val="20"/>
        </w:rPr>
      </w:pPr>
      <w:r w:rsidRPr="00231180">
        <w:rPr>
          <w:rFonts w:ascii="Times New Roman" w:hAnsi="Times New Roman" w:cs="Times New Roman"/>
          <w:color w:val="000000" w:themeColor="text1"/>
          <w:sz w:val="20"/>
          <w:szCs w:val="20"/>
        </w:rPr>
        <w:t xml:space="preserve">Desactivar el código de la Ruta Nº </w:t>
      </w:r>
      <w:r w:rsidR="00E638B5">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 xml:space="preserve">, operada anteriormente por la empresa </w:t>
      </w:r>
      <w:r w:rsidR="00E638B5">
        <w:rPr>
          <w:rFonts w:ascii="Times New Roman" w:hAnsi="Times New Roman" w:cs="Times New Roman"/>
          <w:b/>
          <w:bCs/>
          <w:color w:val="000000" w:themeColor="text1"/>
          <w:sz w:val="20"/>
          <w:szCs w:val="20"/>
        </w:rPr>
        <w:t>TPCQ</w:t>
      </w:r>
      <w:r w:rsidRPr="00231180">
        <w:rPr>
          <w:rFonts w:ascii="Times New Roman" w:hAnsi="Times New Roman" w:cs="Times New Roman"/>
          <w:b/>
          <w:bCs/>
          <w:color w:val="000000" w:themeColor="text1"/>
          <w:sz w:val="20"/>
          <w:szCs w:val="20"/>
        </w:rPr>
        <w:t xml:space="preserve"> S.A.</w:t>
      </w:r>
    </w:p>
    <w:p w14:paraId="7A86184B" w14:textId="4F5CF75E" w:rsidR="003F2D89" w:rsidRPr="00231180" w:rsidRDefault="00430262" w:rsidP="00231180">
      <w:pPr>
        <w:pStyle w:val="Default"/>
        <w:numPr>
          <w:ilvl w:val="0"/>
          <w:numId w:val="1"/>
        </w:numPr>
        <w:ind w:left="851" w:right="567" w:hanging="284"/>
        <w:jc w:val="both"/>
        <w:rPr>
          <w:rFonts w:ascii="Times New Roman" w:hAnsi="Times New Roman" w:cs="Times New Roman"/>
          <w:color w:val="000000" w:themeColor="text1"/>
          <w:sz w:val="20"/>
          <w:szCs w:val="20"/>
        </w:rPr>
      </w:pPr>
      <w:r w:rsidRPr="00231180">
        <w:rPr>
          <w:rFonts w:ascii="Times New Roman" w:hAnsi="Times New Roman" w:cs="Times New Roman"/>
          <w:color w:val="000000" w:themeColor="text1"/>
          <w:sz w:val="20"/>
          <w:szCs w:val="20"/>
        </w:rPr>
        <w:t xml:space="preserve">Autorizar los ramales de la Ruta N° </w:t>
      </w:r>
      <w:r w:rsidR="00E638B5">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 xml:space="preserve">, bajo operación de la empresa </w:t>
      </w:r>
      <w:r w:rsidR="00E638B5">
        <w:rPr>
          <w:rFonts w:ascii="Times New Roman" w:hAnsi="Times New Roman" w:cs="Times New Roman"/>
          <w:b/>
          <w:bCs/>
          <w:color w:val="000000" w:themeColor="text1"/>
          <w:sz w:val="20"/>
          <w:szCs w:val="20"/>
        </w:rPr>
        <w:t>TPCQ</w:t>
      </w:r>
      <w:r w:rsidRPr="00231180">
        <w:rPr>
          <w:rFonts w:ascii="Times New Roman" w:hAnsi="Times New Roman" w:cs="Times New Roman"/>
          <w:b/>
          <w:bCs/>
          <w:color w:val="000000" w:themeColor="text1"/>
          <w:sz w:val="20"/>
          <w:szCs w:val="20"/>
        </w:rPr>
        <w:t xml:space="preserve"> S.A.</w:t>
      </w:r>
      <w:r w:rsidRPr="00231180">
        <w:rPr>
          <w:rFonts w:ascii="Times New Roman" w:hAnsi="Times New Roman" w:cs="Times New Roman"/>
          <w:color w:val="000000" w:themeColor="text1"/>
          <w:sz w:val="20"/>
          <w:szCs w:val="20"/>
        </w:rPr>
        <w:t>, (…)</w:t>
      </w:r>
    </w:p>
    <w:p w14:paraId="7D559EB5" w14:textId="7B7E071A" w:rsidR="00430262" w:rsidRPr="00231180" w:rsidRDefault="00430262" w:rsidP="00231180">
      <w:pPr>
        <w:pStyle w:val="Default"/>
        <w:numPr>
          <w:ilvl w:val="0"/>
          <w:numId w:val="5"/>
        </w:numPr>
        <w:ind w:left="851" w:right="567" w:hanging="284"/>
        <w:jc w:val="both"/>
        <w:rPr>
          <w:rFonts w:ascii="Times New Roman" w:hAnsi="Times New Roman" w:cs="Times New Roman"/>
          <w:color w:val="000000" w:themeColor="text1"/>
          <w:sz w:val="20"/>
          <w:szCs w:val="20"/>
        </w:rPr>
      </w:pPr>
      <w:r w:rsidRPr="00231180">
        <w:rPr>
          <w:rFonts w:ascii="Times New Roman" w:hAnsi="Times New Roman" w:cs="Times New Roman"/>
          <w:sz w:val="20"/>
          <w:szCs w:val="20"/>
        </w:rPr>
        <w:t xml:space="preserve">Unificar la flota de las Rutas N° </w:t>
      </w:r>
      <w:r w:rsidR="00E638B5">
        <w:rPr>
          <w:rFonts w:ascii="Times New Roman" w:hAnsi="Times New Roman" w:cs="Times New Roman"/>
          <w:sz w:val="20"/>
          <w:szCs w:val="20"/>
        </w:rPr>
        <w:t>000</w:t>
      </w:r>
      <w:r w:rsidRPr="00231180">
        <w:rPr>
          <w:rFonts w:ascii="Times New Roman" w:hAnsi="Times New Roman" w:cs="Times New Roman"/>
          <w:sz w:val="20"/>
          <w:szCs w:val="20"/>
        </w:rPr>
        <w:t xml:space="preserve"> y </w:t>
      </w:r>
      <w:r w:rsidR="00E638B5">
        <w:rPr>
          <w:rFonts w:ascii="Times New Roman" w:hAnsi="Times New Roman" w:cs="Times New Roman"/>
          <w:sz w:val="20"/>
          <w:szCs w:val="20"/>
        </w:rPr>
        <w:t>000</w:t>
      </w:r>
      <w:r w:rsidRPr="00231180">
        <w:rPr>
          <w:rFonts w:ascii="Times New Roman" w:hAnsi="Times New Roman" w:cs="Times New Roman"/>
          <w:sz w:val="20"/>
          <w:szCs w:val="20"/>
        </w:rPr>
        <w:t xml:space="preserve">, ahora bajo el código único de la Ruta N° </w:t>
      </w:r>
      <w:r w:rsidR="00E638B5">
        <w:rPr>
          <w:rFonts w:ascii="Times New Roman" w:hAnsi="Times New Roman" w:cs="Times New Roman"/>
          <w:sz w:val="20"/>
          <w:szCs w:val="20"/>
        </w:rPr>
        <w:t>000</w:t>
      </w:r>
      <w:r w:rsidRPr="00231180">
        <w:rPr>
          <w:rFonts w:ascii="Times New Roman" w:hAnsi="Times New Roman" w:cs="Times New Roman"/>
          <w:sz w:val="20"/>
          <w:szCs w:val="20"/>
        </w:rPr>
        <w:t xml:space="preserve">, y aumentar en 5 unidades la flota óptima de la Ruta N° </w:t>
      </w:r>
      <w:r w:rsidR="00E638B5">
        <w:rPr>
          <w:rFonts w:ascii="Times New Roman" w:hAnsi="Times New Roman" w:cs="Times New Roman"/>
          <w:sz w:val="20"/>
          <w:szCs w:val="20"/>
        </w:rPr>
        <w:t>000</w:t>
      </w:r>
      <w:r w:rsidRPr="00231180">
        <w:rPr>
          <w:rFonts w:ascii="Times New Roman" w:hAnsi="Times New Roman" w:cs="Times New Roman"/>
          <w:sz w:val="20"/>
          <w:szCs w:val="20"/>
        </w:rPr>
        <w:t xml:space="preserve">, bajo operación de la empresa </w:t>
      </w:r>
      <w:r w:rsidR="00E638B5">
        <w:rPr>
          <w:rFonts w:ascii="Times New Roman" w:hAnsi="Times New Roman" w:cs="Times New Roman"/>
          <w:b/>
          <w:bCs/>
          <w:sz w:val="20"/>
          <w:szCs w:val="20"/>
        </w:rPr>
        <w:t>TPCQ</w:t>
      </w:r>
      <w:r w:rsidRPr="00231180">
        <w:rPr>
          <w:rFonts w:ascii="Times New Roman" w:hAnsi="Times New Roman" w:cs="Times New Roman"/>
          <w:b/>
          <w:bCs/>
          <w:sz w:val="20"/>
          <w:szCs w:val="20"/>
        </w:rPr>
        <w:t xml:space="preserve"> S.A.</w:t>
      </w:r>
      <w:r w:rsidRPr="00231180">
        <w:rPr>
          <w:rFonts w:ascii="Times New Roman" w:hAnsi="Times New Roman" w:cs="Times New Roman"/>
          <w:sz w:val="20"/>
          <w:szCs w:val="20"/>
        </w:rPr>
        <w:t xml:space="preserve">, quedando finalmente con 19 unidades, lo anterior, conforme el informe presentado por la empresa </w:t>
      </w:r>
      <w:r w:rsidR="00E638B5">
        <w:rPr>
          <w:rFonts w:ascii="Times New Roman" w:hAnsi="Times New Roman" w:cs="Times New Roman"/>
          <w:sz w:val="20"/>
          <w:szCs w:val="20"/>
        </w:rPr>
        <w:t>I</w:t>
      </w:r>
      <w:bookmarkEnd w:id="1"/>
      <w:r w:rsidRPr="00231180">
        <w:rPr>
          <w:rFonts w:ascii="Times New Roman" w:hAnsi="Times New Roman" w:cs="Times New Roman"/>
          <w:sz w:val="20"/>
          <w:szCs w:val="20"/>
        </w:rPr>
        <w:t xml:space="preserve">, organismo de inspección acreditado ante el ECA, tal y como se detalla a continuación: </w:t>
      </w:r>
    </w:p>
    <w:p w14:paraId="2C841EB3" w14:textId="7386E89F" w:rsidR="003F2D89" w:rsidRPr="00231180" w:rsidRDefault="003F2D89" w:rsidP="00231180">
      <w:pPr>
        <w:rPr>
          <w:rFonts w:eastAsiaTheme="minorHAnsi"/>
          <w:color w:val="000000"/>
          <w:sz w:val="20"/>
          <w:szCs w:val="20"/>
          <w:lang w:val="es-CR"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4680"/>
        <w:gridCol w:w="850"/>
      </w:tblGrid>
      <w:tr w:rsidR="00D22D05" w:rsidRPr="00231180" w14:paraId="2CD0CB6D" w14:textId="77777777" w:rsidTr="00996A68">
        <w:trPr>
          <w:trHeight w:val="118"/>
          <w:jc w:val="center"/>
        </w:trPr>
        <w:tc>
          <w:tcPr>
            <w:tcW w:w="6746" w:type="dxa"/>
            <w:gridSpan w:val="3"/>
            <w:tcBorders>
              <w:top w:val="single" w:sz="4" w:space="0" w:color="auto"/>
              <w:left w:val="single" w:sz="4" w:space="0" w:color="auto"/>
              <w:bottom w:val="single" w:sz="4" w:space="0" w:color="auto"/>
              <w:right w:val="single" w:sz="4" w:space="0" w:color="auto"/>
            </w:tcBorders>
          </w:tcPr>
          <w:p w14:paraId="5E8EF16D" w14:textId="6633535C" w:rsidR="00D22D05" w:rsidRPr="00231180" w:rsidRDefault="00D22D05" w:rsidP="00231180">
            <w:pPr>
              <w:autoSpaceDE w:val="0"/>
              <w:autoSpaceDN w:val="0"/>
              <w:adjustRightInd w:val="0"/>
              <w:jc w:val="center"/>
              <w:rPr>
                <w:rFonts w:eastAsiaTheme="minorHAnsi"/>
                <w:b/>
                <w:bCs/>
                <w:color w:val="000000"/>
                <w:sz w:val="20"/>
                <w:szCs w:val="20"/>
                <w:lang w:val="es-CR" w:eastAsia="en-US"/>
              </w:rPr>
            </w:pPr>
            <w:r w:rsidRPr="00231180">
              <w:rPr>
                <w:rFonts w:eastAsiaTheme="minorHAnsi"/>
                <w:b/>
                <w:bCs/>
                <w:color w:val="000000"/>
                <w:sz w:val="20"/>
                <w:szCs w:val="20"/>
                <w:lang w:val="es-CR" w:eastAsia="en-US"/>
              </w:rPr>
              <w:t xml:space="preserve">RUTA N° </w:t>
            </w:r>
            <w:r w:rsidR="00E638B5">
              <w:rPr>
                <w:rFonts w:eastAsiaTheme="minorHAnsi"/>
                <w:b/>
                <w:bCs/>
                <w:color w:val="000000"/>
                <w:sz w:val="20"/>
                <w:szCs w:val="20"/>
                <w:lang w:val="es-CR" w:eastAsia="en-US"/>
              </w:rPr>
              <w:t>000</w:t>
            </w:r>
          </w:p>
        </w:tc>
      </w:tr>
      <w:tr w:rsidR="00430262" w:rsidRPr="00231180" w14:paraId="29A9CF08" w14:textId="77777777" w:rsidTr="00996A68">
        <w:trPr>
          <w:trHeight w:val="118"/>
          <w:jc w:val="center"/>
        </w:trPr>
        <w:tc>
          <w:tcPr>
            <w:tcW w:w="1216" w:type="dxa"/>
            <w:tcBorders>
              <w:top w:val="single" w:sz="4" w:space="0" w:color="auto"/>
            </w:tcBorders>
          </w:tcPr>
          <w:p w14:paraId="7A10C34F" w14:textId="10EA49CF" w:rsidR="00430262" w:rsidRPr="00231180" w:rsidRDefault="00430262" w:rsidP="00231180">
            <w:pPr>
              <w:autoSpaceDE w:val="0"/>
              <w:autoSpaceDN w:val="0"/>
              <w:adjustRightInd w:val="0"/>
              <w:rPr>
                <w:rFonts w:eastAsiaTheme="minorHAnsi"/>
                <w:color w:val="000000"/>
                <w:sz w:val="20"/>
                <w:szCs w:val="20"/>
                <w:lang w:val="es-CR" w:eastAsia="en-US"/>
              </w:rPr>
            </w:pPr>
            <w:r w:rsidRPr="00231180">
              <w:rPr>
                <w:rFonts w:eastAsiaTheme="minorHAnsi"/>
                <w:b/>
                <w:bCs/>
                <w:color w:val="000000"/>
                <w:sz w:val="20"/>
                <w:szCs w:val="20"/>
                <w:lang w:val="es-CR" w:eastAsia="en-US"/>
              </w:rPr>
              <w:t>Recorrido</w:t>
            </w:r>
          </w:p>
        </w:tc>
        <w:tc>
          <w:tcPr>
            <w:tcW w:w="4680" w:type="dxa"/>
          </w:tcPr>
          <w:p w14:paraId="7021A25C" w14:textId="11FB55CC" w:rsidR="00430262" w:rsidRPr="00231180" w:rsidRDefault="00430262" w:rsidP="00231180">
            <w:pPr>
              <w:autoSpaceDE w:val="0"/>
              <w:autoSpaceDN w:val="0"/>
              <w:adjustRightInd w:val="0"/>
              <w:jc w:val="center"/>
              <w:rPr>
                <w:rFonts w:eastAsiaTheme="minorHAnsi"/>
                <w:color w:val="000000"/>
                <w:sz w:val="20"/>
                <w:szCs w:val="20"/>
                <w:lang w:val="es-CR" w:eastAsia="en-US"/>
              </w:rPr>
            </w:pPr>
            <w:r w:rsidRPr="00231180">
              <w:rPr>
                <w:rFonts w:eastAsiaTheme="minorHAnsi"/>
                <w:b/>
                <w:bCs/>
                <w:color w:val="000000"/>
                <w:sz w:val="20"/>
                <w:szCs w:val="20"/>
                <w:lang w:val="es-CR" w:eastAsia="en-US"/>
              </w:rPr>
              <w:t>Descripción</w:t>
            </w:r>
          </w:p>
        </w:tc>
        <w:tc>
          <w:tcPr>
            <w:tcW w:w="850" w:type="dxa"/>
            <w:tcBorders>
              <w:top w:val="single" w:sz="4" w:space="0" w:color="auto"/>
            </w:tcBorders>
          </w:tcPr>
          <w:p w14:paraId="555E9C94" w14:textId="5CF343B6" w:rsidR="00430262" w:rsidRPr="00231180" w:rsidRDefault="00430262" w:rsidP="00231180">
            <w:pPr>
              <w:autoSpaceDE w:val="0"/>
              <w:autoSpaceDN w:val="0"/>
              <w:adjustRightInd w:val="0"/>
              <w:rPr>
                <w:rFonts w:eastAsiaTheme="minorHAnsi"/>
                <w:color w:val="000000"/>
                <w:sz w:val="20"/>
                <w:szCs w:val="20"/>
                <w:lang w:val="es-CR" w:eastAsia="en-US"/>
              </w:rPr>
            </w:pPr>
            <w:r w:rsidRPr="00231180">
              <w:rPr>
                <w:rFonts w:eastAsiaTheme="minorHAnsi"/>
                <w:b/>
                <w:bCs/>
                <w:color w:val="000000"/>
                <w:sz w:val="20"/>
                <w:szCs w:val="20"/>
                <w:lang w:val="es-CR" w:eastAsia="en-US"/>
              </w:rPr>
              <w:t>Flota</w:t>
            </w:r>
          </w:p>
        </w:tc>
      </w:tr>
      <w:tr w:rsidR="00430262" w:rsidRPr="00231180" w14:paraId="2DFA162A" w14:textId="77777777" w:rsidTr="00996A68">
        <w:trPr>
          <w:trHeight w:val="118"/>
          <w:jc w:val="center"/>
        </w:trPr>
        <w:tc>
          <w:tcPr>
            <w:tcW w:w="1216" w:type="dxa"/>
          </w:tcPr>
          <w:p w14:paraId="727823A5" w14:textId="071E3D61" w:rsidR="00430262" w:rsidRPr="00231180" w:rsidRDefault="00430262" w:rsidP="00231180">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1</w:t>
            </w:r>
          </w:p>
        </w:tc>
        <w:tc>
          <w:tcPr>
            <w:tcW w:w="4680" w:type="dxa"/>
          </w:tcPr>
          <w:p w14:paraId="05FC648F" w14:textId="002B3BF4" w:rsidR="00430262" w:rsidRPr="00231180" w:rsidRDefault="00806A4B" w:rsidP="00231180">
            <w:pPr>
              <w:autoSpaceDE w:val="0"/>
              <w:autoSpaceDN w:val="0"/>
              <w:adjustRightInd w:val="0"/>
              <w:rPr>
                <w:rFonts w:eastAsiaTheme="minorHAnsi"/>
                <w:color w:val="000000"/>
                <w:sz w:val="20"/>
                <w:szCs w:val="20"/>
                <w:lang w:val="es-CR" w:eastAsia="en-US"/>
              </w:rPr>
            </w:pPr>
            <w:r>
              <w:rPr>
                <w:rFonts w:eastAsiaTheme="minorHAnsi"/>
                <w:color w:val="000000"/>
                <w:sz w:val="20"/>
                <w:szCs w:val="20"/>
                <w:lang w:val="es-CR" w:eastAsia="en-US"/>
              </w:rPr>
              <w:t>000</w:t>
            </w:r>
          </w:p>
        </w:tc>
        <w:tc>
          <w:tcPr>
            <w:tcW w:w="850" w:type="dxa"/>
          </w:tcPr>
          <w:p w14:paraId="3EAA7FEA" w14:textId="7B799214" w:rsidR="00430262" w:rsidRPr="00231180" w:rsidRDefault="00430262" w:rsidP="00231180">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2</w:t>
            </w:r>
          </w:p>
        </w:tc>
      </w:tr>
      <w:tr w:rsidR="00430262" w:rsidRPr="00231180" w14:paraId="24694DE5" w14:textId="77777777" w:rsidTr="00996A68">
        <w:trPr>
          <w:trHeight w:val="118"/>
          <w:jc w:val="center"/>
        </w:trPr>
        <w:tc>
          <w:tcPr>
            <w:tcW w:w="1216" w:type="dxa"/>
          </w:tcPr>
          <w:p w14:paraId="6E312125" w14:textId="2E25680A" w:rsidR="00430262" w:rsidRPr="00231180" w:rsidRDefault="00430262" w:rsidP="00231180">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2</w:t>
            </w:r>
          </w:p>
        </w:tc>
        <w:tc>
          <w:tcPr>
            <w:tcW w:w="4680" w:type="dxa"/>
          </w:tcPr>
          <w:p w14:paraId="6DD18B1D" w14:textId="78EE4DEA" w:rsidR="00430262" w:rsidRPr="00231180" w:rsidRDefault="00806A4B" w:rsidP="00231180">
            <w:pPr>
              <w:autoSpaceDE w:val="0"/>
              <w:autoSpaceDN w:val="0"/>
              <w:adjustRightInd w:val="0"/>
              <w:rPr>
                <w:rFonts w:eastAsiaTheme="minorHAnsi"/>
                <w:color w:val="000000"/>
                <w:sz w:val="20"/>
                <w:szCs w:val="20"/>
                <w:lang w:val="es-CR" w:eastAsia="en-US"/>
              </w:rPr>
            </w:pPr>
            <w:r>
              <w:rPr>
                <w:rFonts w:eastAsiaTheme="minorHAnsi"/>
                <w:color w:val="000000"/>
                <w:sz w:val="20"/>
                <w:szCs w:val="20"/>
                <w:lang w:val="es-CR" w:eastAsia="en-US"/>
              </w:rPr>
              <w:t>000</w:t>
            </w:r>
            <w:r w:rsidR="00430262" w:rsidRPr="00231180">
              <w:rPr>
                <w:rFonts w:eastAsiaTheme="minorHAnsi"/>
                <w:color w:val="000000"/>
                <w:sz w:val="20"/>
                <w:szCs w:val="20"/>
                <w:lang w:val="es-CR" w:eastAsia="en-US"/>
              </w:rPr>
              <w:t xml:space="preserve"> </w:t>
            </w:r>
          </w:p>
        </w:tc>
        <w:tc>
          <w:tcPr>
            <w:tcW w:w="850" w:type="dxa"/>
          </w:tcPr>
          <w:p w14:paraId="1AD2CF59" w14:textId="01E5F7DD" w:rsidR="00430262" w:rsidRPr="00231180" w:rsidRDefault="00430262" w:rsidP="00231180">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12</w:t>
            </w:r>
          </w:p>
        </w:tc>
      </w:tr>
      <w:tr w:rsidR="00806A4B" w:rsidRPr="00231180" w14:paraId="0258ECB3" w14:textId="77777777" w:rsidTr="00996A68">
        <w:trPr>
          <w:trHeight w:val="118"/>
          <w:jc w:val="center"/>
        </w:trPr>
        <w:tc>
          <w:tcPr>
            <w:tcW w:w="1216" w:type="dxa"/>
          </w:tcPr>
          <w:p w14:paraId="76DE0562" w14:textId="6C150B24" w:rsidR="00806A4B" w:rsidRPr="00231180" w:rsidRDefault="00806A4B" w:rsidP="00806A4B">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3</w:t>
            </w:r>
          </w:p>
        </w:tc>
        <w:tc>
          <w:tcPr>
            <w:tcW w:w="4680" w:type="dxa"/>
          </w:tcPr>
          <w:p w14:paraId="3E816D79" w14:textId="0BF1733E" w:rsidR="00806A4B" w:rsidRPr="00231180" w:rsidRDefault="00806A4B" w:rsidP="00806A4B">
            <w:pPr>
              <w:autoSpaceDE w:val="0"/>
              <w:autoSpaceDN w:val="0"/>
              <w:adjustRightInd w:val="0"/>
              <w:rPr>
                <w:rFonts w:eastAsiaTheme="minorHAnsi"/>
                <w:color w:val="000000"/>
                <w:sz w:val="20"/>
                <w:szCs w:val="20"/>
                <w:lang w:val="es-CR" w:eastAsia="en-US"/>
              </w:rPr>
            </w:pPr>
            <w:r w:rsidRPr="0001164D">
              <w:rPr>
                <w:rFonts w:eastAsiaTheme="minorHAnsi"/>
                <w:color w:val="000000"/>
                <w:sz w:val="20"/>
                <w:szCs w:val="20"/>
                <w:lang w:val="es-CR" w:eastAsia="en-US"/>
              </w:rPr>
              <w:t xml:space="preserve">000 </w:t>
            </w:r>
          </w:p>
        </w:tc>
        <w:tc>
          <w:tcPr>
            <w:tcW w:w="850" w:type="dxa"/>
          </w:tcPr>
          <w:p w14:paraId="065191F4" w14:textId="6E6290A8" w:rsidR="00806A4B" w:rsidRPr="00231180" w:rsidRDefault="00806A4B" w:rsidP="00806A4B">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3</w:t>
            </w:r>
          </w:p>
        </w:tc>
      </w:tr>
      <w:tr w:rsidR="00806A4B" w:rsidRPr="00231180" w14:paraId="53150FB7" w14:textId="77777777" w:rsidTr="00996A68">
        <w:trPr>
          <w:trHeight w:val="118"/>
          <w:jc w:val="center"/>
        </w:trPr>
        <w:tc>
          <w:tcPr>
            <w:tcW w:w="1216" w:type="dxa"/>
          </w:tcPr>
          <w:p w14:paraId="287D4534" w14:textId="7E59572A" w:rsidR="00806A4B" w:rsidRPr="00231180" w:rsidRDefault="00806A4B" w:rsidP="00806A4B">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4</w:t>
            </w:r>
          </w:p>
        </w:tc>
        <w:tc>
          <w:tcPr>
            <w:tcW w:w="4680" w:type="dxa"/>
          </w:tcPr>
          <w:p w14:paraId="68D49BE1" w14:textId="27C7C530" w:rsidR="00806A4B" w:rsidRPr="00231180" w:rsidRDefault="00806A4B" w:rsidP="00806A4B">
            <w:pPr>
              <w:autoSpaceDE w:val="0"/>
              <w:autoSpaceDN w:val="0"/>
              <w:adjustRightInd w:val="0"/>
              <w:rPr>
                <w:rFonts w:eastAsiaTheme="minorHAnsi"/>
                <w:color w:val="000000"/>
                <w:sz w:val="20"/>
                <w:szCs w:val="20"/>
                <w:lang w:val="es-CR" w:eastAsia="en-US"/>
              </w:rPr>
            </w:pPr>
            <w:r w:rsidRPr="0001164D">
              <w:rPr>
                <w:rFonts w:eastAsiaTheme="minorHAnsi"/>
                <w:color w:val="000000"/>
                <w:sz w:val="20"/>
                <w:szCs w:val="20"/>
                <w:lang w:val="es-CR" w:eastAsia="en-US"/>
              </w:rPr>
              <w:t xml:space="preserve">000 </w:t>
            </w:r>
          </w:p>
        </w:tc>
        <w:tc>
          <w:tcPr>
            <w:tcW w:w="850" w:type="dxa"/>
          </w:tcPr>
          <w:p w14:paraId="3F6CFC3A" w14:textId="56545FCA" w:rsidR="00806A4B" w:rsidRPr="00231180" w:rsidRDefault="00806A4B" w:rsidP="00806A4B">
            <w:pPr>
              <w:autoSpaceDE w:val="0"/>
              <w:autoSpaceDN w:val="0"/>
              <w:adjustRightInd w:val="0"/>
              <w:jc w:val="center"/>
              <w:rPr>
                <w:rFonts w:eastAsiaTheme="minorHAnsi"/>
                <w:color w:val="000000"/>
                <w:sz w:val="20"/>
                <w:szCs w:val="20"/>
                <w:lang w:val="es-CR" w:eastAsia="en-US"/>
              </w:rPr>
            </w:pPr>
            <w:r w:rsidRPr="00231180">
              <w:rPr>
                <w:rFonts w:eastAsiaTheme="minorHAnsi"/>
                <w:color w:val="000000"/>
                <w:sz w:val="20"/>
                <w:szCs w:val="20"/>
                <w:lang w:val="es-CR" w:eastAsia="en-US"/>
              </w:rPr>
              <w:t>1</w:t>
            </w:r>
          </w:p>
        </w:tc>
      </w:tr>
      <w:tr w:rsidR="00806A4B" w:rsidRPr="00231180" w14:paraId="1E12FE80" w14:textId="77777777" w:rsidTr="00996A68">
        <w:trPr>
          <w:trHeight w:val="118"/>
          <w:jc w:val="center"/>
        </w:trPr>
        <w:tc>
          <w:tcPr>
            <w:tcW w:w="1216" w:type="dxa"/>
          </w:tcPr>
          <w:p w14:paraId="6A08C6BB" w14:textId="4471E676" w:rsidR="00806A4B" w:rsidRPr="00231180" w:rsidRDefault="00806A4B" w:rsidP="00806A4B">
            <w:pPr>
              <w:autoSpaceDE w:val="0"/>
              <w:autoSpaceDN w:val="0"/>
              <w:adjustRightInd w:val="0"/>
              <w:jc w:val="center"/>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5</w:t>
            </w:r>
          </w:p>
        </w:tc>
        <w:tc>
          <w:tcPr>
            <w:tcW w:w="4680" w:type="dxa"/>
          </w:tcPr>
          <w:p w14:paraId="6DBCD94F" w14:textId="1B6682D5" w:rsidR="00806A4B" w:rsidRPr="00231180" w:rsidRDefault="00806A4B" w:rsidP="00806A4B">
            <w:pPr>
              <w:autoSpaceDE w:val="0"/>
              <w:autoSpaceDN w:val="0"/>
              <w:adjustRightInd w:val="0"/>
              <w:rPr>
                <w:rFonts w:eastAsiaTheme="minorHAnsi"/>
                <w:color w:val="000000" w:themeColor="text1"/>
                <w:sz w:val="20"/>
                <w:szCs w:val="20"/>
                <w:lang w:val="es-CR" w:eastAsia="en-US"/>
              </w:rPr>
            </w:pPr>
            <w:r w:rsidRPr="0001164D">
              <w:rPr>
                <w:rFonts w:eastAsiaTheme="minorHAnsi"/>
                <w:color w:val="000000"/>
                <w:sz w:val="20"/>
                <w:szCs w:val="20"/>
                <w:lang w:val="es-CR" w:eastAsia="en-US"/>
              </w:rPr>
              <w:t xml:space="preserve">000 </w:t>
            </w:r>
          </w:p>
        </w:tc>
        <w:tc>
          <w:tcPr>
            <w:tcW w:w="850" w:type="dxa"/>
          </w:tcPr>
          <w:p w14:paraId="00E9A2B1" w14:textId="7DEBA25E" w:rsidR="00806A4B" w:rsidRPr="00231180" w:rsidRDefault="00806A4B" w:rsidP="00806A4B">
            <w:pPr>
              <w:autoSpaceDE w:val="0"/>
              <w:autoSpaceDN w:val="0"/>
              <w:adjustRightInd w:val="0"/>
              <w:jc w:val="center"/>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1</w:t>
            </w:r>
          </w:p>
        </w:tc>
      </w:tr>
      <w:tr w:rsidR="00806A4B" w:rsidRPr="00231180" w14:paraId="5060EDE9" w14:textId="77777777" w:rsidTr="00996A68">
        <w:trPr>
          <w:trHeight w:val="118"/>
          <w:jc w:val="center"/>
        </w:trPr>
        <w:tc>
          <w:tcPr>
            <w:tcW w:w="1216" w:type="dxa"/>
          </w:tcPr>
          <w:p w14:paraId="601E8620" w14:textId="7D8CF34B" w:rsidR="00806A4B" w:rsidRPr="00231180" w:rsidRDefault="00806A4B" w:rsidP="00806A4B">
            <w:pPr>
              <w:autoSpaceDE w:val="0"/>
              <w:autoSpaceDN w:val="0"/>
              <w:adjustRightInd w:val="0"/>
              <w:jc w:val="center"/>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6</w:t>
            </w:r>
          </w:p>
        </w:tc>
        <w:tc>
          <w:tcPr>
            <w:tcW w:w="4680" w:type="dxa"/>
          </w:tcPr>
          <w:p w14:paraId="0E0C684C" w14:textId="4D57ECAC" w:rsidR="00806A4B" w:rsidRPr="00231180" w:rsidRDefault="00806A4B" w:rsidP="00806A4B">
            <w:pPr>
              <w:autoSpaceDE w:val="0"/>
              <w:autoSpaceDN w:val="0"/>
              <w:adjustRightInd w:val="0"/>
              <w:rPr>
                <w:rFonts w:eastAsiaTheme="minorHAnsi"/>
                <w:color w:val="000000" w:themeColor="text1"/>
                <w:sz w:val="20"/>
                <w:szCs w:val="20"/>
                <w:lang w:val="es-CR" w:eastAsia="en-US"/>
              </w:rPr>
            </w:pPr>
            <w:r w:rsidRPr="0001164D">
              <w:rPr>
                <w:rFonts w:eastAsiaTheme="minorHAnsi"/>
                <w:color w:val="000000"/>
                <w:sz w:val="20"/>
                <w:szCs w:val="20"/>
                <w:lang w:val="es-CR" w:eastAsia="en-US"/>
              </w:rPr>
              <w:t xml:space="preserve">000 </w:t>
            </w:r>
          </w:p>
        </w:tc>
        <w:tc>
          <w:tcPr>
            <w:tcW w:w="850" w:type="dxa"/>
          </w:tcPr>
          <w:p w14:paraId="0D09E9F4" w14:textId="7AE9AEA8" w:rsidR="00806A4B" w:rsidRPr="00231180" w:rsidRDefault="00806A4B" w:rsidP="00806A4B">
            <w:pPr>
              <w:autoSpaceDE w:val="0"/>
              <w:autoSpaceDN w:val="0"/>
              <w:adjustRightInd w:val="0"/>
              <w:jc w:val="center"/>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1</w:t>
            </w:r>
          </w:p>
        </w:tc>
      </w:tr>
      <w:tr w:rsidR="003F2D89" w:rsidRPr="00231180" w14:paraId="24078686" w14:textId="77777777" w:rsidTr="00996A68">
        <w:trPr>
          <w:trHeight w:val="118"/>
          <w:jc w:val="center"/>
        </w:trPr>
        <w:tc>
          <w:tcPr>
            <w:tcW w:w="1216" w:type="dxa"/>
            <w:tcBorders>
              <w:bottom w:val="nil"/>
            </w:tcBorders>
          </w:tcPr>
          <w:p w14:paraId="59BA2FB1" w14:textId="71DE6AF3" w:rsidR="003F2D89" w:rsidRPr="00231180" w:rsidRDefault="003F2D89" w:rsidP="00231180">
            <w:pPr>
              <w:autoSpaceDE w:val="0"/>
              <w:autoSpaceDN w:val="0"/>
              <w:adjustRightInd w:val="0"/>
              <w:jc w:val="center"/>
              <w:rPr>
                <w:rFonts w:eastAsiaTheme="minorHAnsi"/>
                <w:color w:val="000000" w:themeColor="text1"/>
                <w:sz w:val="20"/>
                <w:szCs w:val="20"/>
                <w:lang w:val="es-CR" w:eastAsia="en-US"/>
              </w:rPr>
            </w:pPr>
          </w:p>
        </w:tc>
        <w:tc>
          <w:tcPr>
            <w:tcW w:w="4680" w:type="dxa"/>
            <w:tcBorders>
              <w:bottom w:val="single" w:sz="4" w:space="0" w:color="auto"/>
            </w:tcBorders>
          </w:tcPr>
          <w:p w14:paraId="56C491AC" w14:textId="49388029" w:rsidR="003F2D89" w:rsidRPr="00231180" w:rsidRDefault="003F2D89" w:rsidP="00231180">
            <w:pPr>
              <w:autoSpaceDE w:val="0"/>
              <w:autoSpaceDN w:val="0"/>
              <w:adjustRightInd w:val="0"/>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 xml:space="preserve">Sumatoria </w:t>
            </w:r>
          </w:p>
        </w:tc>
        <w:tc>
          <w:tcPr>
            <w:tcW w:w="850" w:type="dxa"/>
          </w:tcPr>
          <w:p w14:paraId="4E155916" w14:textId="17C40463" w:rsidR="003F2D89" w:rsidRPr="00231180" w:rsidRDefault="003F2D89" w:rsidP="00231180">
            <w:pPr>
              <w:autoSpaceDE w:val="0"/>
              <w:autoSpaceDN w:val="0"/>
              <w:adjustRightInd w:val="0"/>
              <w:jc w:val="center"/>
              <w:rPr>
                <w:rFonts w:eastAsiaTheme="minorHAnsi"/>
                <w:color w:val="000000" w:themeColor="text1"/>
                <w:sz w:val="20"/>
                <w:szCs w:val="20"/>
                <w:lang w:val="es-CR" w:eastAsia="en-US"/>
              </w:rPr>
            </w:pPr>
            <w:r w:rsidRPr="00231180">
              <w:rPr>
                <w:rFonts w:eastAsiaTheme="minorHAnsi"/>
                <w:color w:val="000000" w:themeColor="text1"/>
                <w:sz w:val="20"/>
                <w:szCs w:val="20"/>
                <w:lang w:val="es-CR" w:eastAsia="en-US"/>
              </w:rPr>
              <w:t>20</w:t>
            </w:r>
          </w:p>
        </w:tc>
      </w:tr>
      <w:tr w:rsidR="00996A68" w:rsidRPr="00231180" w14:paraId="71252455" w14:textId="1AE957BA" w:rsidTr="00996A68">
        <w:trPr>
          <w:trHeight w:val="118"/>
          <w:jc w:val="center"/>
        </w:trPr>
        <w:tc>
          <w:tcPr>
            <w:tcW w:w="1216" w:type="dxa"/>
            <w:tcBorders>
              <w:top w:val="nil"/>
              <w:left w:val="nil"/>
              <w:bottom w:val="nil"/>
              <w:right w:val="single" w:sz="4" w:space="0" w:color="auto"/>
            </w:tcBorders>
          </w:tcPr>
          <w:p w14:paraId="4219C19B" w14:textId="33CF5385" w:rsidR="00996A68" w:rsidRPr="00231180" w:rsidRDefault="00996A68" w:rsidP="00231180">
            <w:pPr>
              <w:autoSpaceDE w:val="0"/>
              <w:autoSpaceDN w:val="0"/>
              <w:adjustRightInd w:val="0"/>
              <w:jc w:val="center"/>
              <w:rPr>
                <w:rFonts w:eastAsiaTheme="minorHAnsi"/>
                <w:b/>
                <w:bCs/>
                <w:color w:val="000000" w:themeColor="text1"/>
                <w:sz w:val="20"/>
                <w:szCs w:val="20"/>
                <w:lang w:val="es-CR" w:eastAsia="en-US"/>
              </w:rPr>
            </w:pPr>
          </w:p>
        </w:tc>
        <w:tc>
          <w:tcPr>
            <w:tcW w:w="4680" w:type="dxa"/>
            <w:tcBorders>
              <w:left w:val="single" w:sz="4" w:space="0" w:color="auto"/>
            </w:tcBorders>
          </w:tcPr>
          <w:p w14:paraId="7B382423" w14:textId="250B7B80" w:rsidR="00996A68" w:rsidRPr="00231180" w:rsidRDefault="00996A68" w:rsidP="00231180">
            <w:pPr>
              <w:autoSpaceDE w:val="0"/>
              <w:autoSpaceDN w:val="0"/>
              <w:adjustRightInd w:val="0"/>
              <w:jc w:val="center"/>
              <w:rPr>
                <w:rFonts w:eastAsiaTheme="minorHAnsi"/>
                <w:b/>
                <w:bCs/>
                <w:color w:val="000000" w:themeColor="text1"/>
                <w:sz w:val="20"/>
                <w:szCs w:val="20"/>
                <w:lang w:val="es-CR" w:eastAsia="en-US"/>
              </w:rPr>
            </w:pPr>
            <w:r w:rsidRPr="00231180">
              <w:rPr>
                <w:rFonts w:eastAsiaTheme="minorHAnsi"/>
                <w:b/>
                <w:bCs/>
                <w:color w:val="000000" w:themeColor="text1"/>
                <w:sz w:val="20"/>
                <w:szCs w:val="20"/>
                <w:lang w:val="es-CR" w:eastAsia="en-US"/>
              </w:rPr>
              <w:t>Flota Optimizada</w:t>
            </w:r>
          </w:p>
        </w:tc>
        <w:tc>
          <w:tcPr>
            <w:tcW w:w="850" w:type="dxa"/>
          </w:tcPr>
          <w:p w14:paraId="04D72E0D" w14:textId="16ADAB82" w:rsidR="00996A68" w:rsidRPr="00231180" w:rsidRDefault="00996A68" w:rsidP="00231180">
            <w:pPr>
              <w:autoSpaceDE w:val="0"/>
              <w:autoSpaceDN w:val="0"/>
              <w:adjustRightInd w:val="0"/>
              <w:jc w:val="center"/>
              <w:rPr>
                <w:rFonts w:eastAsiaTheme="minorHAnsi"/>
                <w:b/>
                <w:bCs/>
                <w:color w:val="000000" w:themeColor="text1"/>
                <w:sz w:val="20"/>
                <w:szCs w:val="20"/>
                <w:lang w:val="es-CR" w:eastAsia="en-US"/>
              </w:rPr>
            </w:pPr>
            <w:r w:rsidRPr="00231180">
              <w:rPr>
                <w:rFonts w:eastAsiaTheme="minorHAnsi"/>
                <w:b/>
                <w:bCs/>
                <w:color w:val="000000" w:themeColor="text1"/>
                <w:sz w:val="20"/>
                <w:szCs w:val="20"/>
                <w:lang w:val="es-CR" w:eastAsia="en-US"/>
              </w:rPr>
              <w:t>19</w:t>
            </w:r>
          </w:p>
        </w:tc>
      </w:tr>
    </w:tbl>
    <w:p w14:paraId="1986CAFA" w14:textId="7CA5232A" w:rsidR="003F2D89" w:rsidRPr="00231180" w:rsidRDefault="00430262" w:rsidP="00231180">
      <w:pPr>
        <w:pStyle w:val="Default"/>
        <w:ind w:left="757" w:right="397"/>
        <w:jc w:val="both"/>
        <w:rPr>
          <w:rFonts w:ascii="Times New Roman" w:hAnsi="Times New Roman" w:cs="Times New Roman"/>
          <w:color w:val="000000" w:themeColor="text1"/>
          <w:sz w:val="20"/>
          <w:szCs w:val="20"/>
        </w:rPr>
      </w:pPr>
      <w:r w:rsidRPr="00231180">
        <w:rPr>
          <w:rFonts w:ascii="Times New Roman" w:hAnsi="Times New Roman" w:cs="Times New Roman"/>
          <w:b/>
          <w:bCs/>
          <w:color w:val="000000" w:themeColor="text1"/>
          <w:sz w:val="20"/>
          <w:szCs w:val="20"/>
        </w:rPr>
        <w:t>Nota</w:t>
      </w:r>
      <w:r w:rsidRPr="00231180">
        <w:rPr>
          <w:rFonts w:ascii="Times New Roman" w:hAnsi="Times New Roman" w:cs="Times New Roman"/>
          <w:color w:val="000000" w:themeColor="text1"/>
          <w:sz w:val="20"/>
          <w:szCs w:val="20"/>
        </w:rPr>
        <w:t>: De acuerdo a la optimización de la flota y el manejo de los recursos se determina que la ruta N°</w:t>
      </w:r>
      <w:r w:rsidR="00E638B5">
        <w:rPr>
          <w:rFonts w:ascii="Times New Roman" w:hAnsi="Times New Roman" w:cs="Times New Roman"/>
          <w:color w:val="000000" w:themeColor="text1"/>
          <w:sz w:val="20"/>
          <w:szCs w:val="20"/>
        </w:rPr>
        <w:t>000</w:t>
      </w:r>
      <w:r w:rsidRPr="00231180">
        <w:rPr>
          <w:rFonts w:ascii="Times New Roman" w:hAnsi="Times New Roman" w:cs="Times New Roman"/>
          <w:color w:val="000000" w:themeColor="text1"/>
          <w:sz w:val="20"/>
          <w:szCs w:val="20"/>
        </w:rPr>
        <w:t xml:space="preserve">, puede operar los horarios establecidos anteriormente con </w:t>
      </w:r>
      <w:r w:rsidRPr="00231180">
        <w:rPr>
          <w:rFonts w:ascii="Times New Roman" w:hAnsi="Times New Roman" w:cs="Times New Roman"/>
          <w:b/>
          <w:bCs/>
          <w:color w:val="000000" w:themeColor="text1"/>
          <w:sz w:val="20"/>
          <w:szCs w:val="20"/>
        </w:rPr>
        <w:t xml:space="preserve">19 </w:t>
      </w:r>
      <w:r w:rsidRPr="00231180">
        <w:rPr>
          <w:rFonts w:ascii="Times New Roman" w:hAnsi="Times New Roman" w:cs="Times New Roman"/>
          <w:color w:val="000000" w:themeColor="text1"/>
          <w:sz w:val="20"/>
          <w:szCs w:val="20"/>
        </w:rPr>
        <w:t>unidades.</w:t>
      </w:r>
      <w:r w:rsidR="003F2D89" w:rsidRPr="00231180">
        <w:rPr>
          <w:rFonts w:ascii="Times New Roman" w:hAnsi="Times New Roman" w:cs="Times New Roman"/>
          <w:color w:val="000000" w:themeColor="text1"/>
          <w:sz w:val="20"/>
          <w:szCs w:val="20"/>
        </w:rPr>
        <w:t xml:space="preserve"> </w:t>
      </w:r>
    </w:p>
    <w:p w14:paraId="260EC10C" w14:textId="0ACDF042" w:rsidR="00430262" w:rsidRPr="00231180" w:rsidRDefault="003F2D89" w:rsidP="00231180">
      <w:pPr>
        <w:pStyle w:val="Default"/>
        <w:ind w:left="757" w:right="397"/>
        <w:jc w:val="both"/>
        <w:rPr>
          <w:rFonts w:ascii="Times New Roman" w:hAnsi="Times New Roman" w:cs="Times New Roman"/>
          <w:color w:val="000000" w:themeColor="text1"/>
          <w:sz w:val="20"/>
          <w:szCs w:val="20"/>
        </w:rPr>
      </w:pPr>
      <w:r w:rsidRPr="00231180">
        <w:rPr>
          <w:rFonts w:ascii="Times New Roman" w:hAnsi="Times New Roman" w:cs="Times New Roman"/>
          <w:color w:val="000000" w:themeColor="text1"/>
          <w:sz w:val="20"/>
          <w:szCs w:val="20"/>
        </w:rPr>
        <w:t>(…)</w:t>
      </w:r>
    </w:p>
    <w:p w14:paraId="6CDD223B" w14:textId="5ED59B29" w:rsidR="000A5F29" w:rsidRPr="00231180" w:rsidRDefault="003F2D89" w:rsidP="00231180">
      <w:pPr>
        <w:pStyle w:val="Default"/>
        <w:numPr>
          <w:ilvl w:val="0"/>
          <w:numId w:val="6"/>
        </w:numPr>
        <w:ind w:right="397"/>
        <w:jc w:val="both"/>
        <w:rPr>
          <w:rFonts w:ascii="Times New Roman" w:hAnsi="Times New Roman" w:cs="Times New Roman"/>
          <w:color w:val="000000" w:themeColor="text1"/>
          <w:sz w:val="20"/>
          <w:szCs w:val="20"/>
        </w:rPr>
      </w:pPr>
      <w:r w:rsidRPr="00231180">
        <w:rPr>
          <w:rFonts w:ascii="Times New Roman" w:hAnsi="Times New Roman" w:cs="Times New Roman"/>
          <w:color w:val="000000" w:themeColor="text1"/>
          <w:sz w:val="20"/>
          <w:szCs w:val="20"/>
        </w:rPr>
        <w:lastRenderedPageBreak/>
        <w:t xml:space="preserve">Notifíquese: </w:t>
      </w:r>
      <w:r w:rsidR="00E638B5">
        <w:rPr>
          <w:rFonts w:ascii="Times New Roman" w:hAnsi="Times New Roman" w:cs="Times New Roman"/>
          <w:color w:val="000000" w:themeColor="text1"/>
          <w:sz w:val="20"/>
          <w:szCs w:val="20"/>
        </w:rPr>
        <w:t>TPCQ</w:t>
      </w:r>
      <w:r w:rsidRPr="00231180">
        <w:rPr>
          <w:rFonts w:ascii="Times New Roman" w:hAnsi="Times New Roman" w:cs="Times New Roman"/>
          <w:color w:val="000000" w:themeColor="text1"/>
          <w:sz w:val="20"/>
          <w:szCs w:val="20"/>
        </w:rPr>
        <w:t xml:space="preserve"> S.A., a los correos </w:t>
      </w:r>
      <w:hyperlink r:id="rId8" w:history="1">
        <w:r w:rsidR="00E638B5">
          <w:rPr>
            <w:rStyle w:val="Hipervnculo"/>
            <w:rFonts w:ascii="Times New Roman" w:hAnsi="Times New Roman" w:cs="Times New Roman"/>
            <w:sz w:val="20"/>
            <w:szCs w:val="20"/>
          </w:rPr>
          <w:t>000</w:t>
        </w:r>
        <w:r w:rsidR="004A49A5" w:rsidRPr="00231180">
          <w:rPr>
            <w:rStyle w:val="Hipervnculo"/>
            <w:rFonts w:ascii="Times New Roman" w:hAnsi="Times New Roman" w:cs="Times New Roman"/>
            <w:sz w:val="20"/>
            <w:szCs w:val="20"/>
          </w:rPr>
          <w:t>@yahoo.com</w:t>
        </w:r>
      </w:hyperlink>
      <w:r w:rsidR="004A49A5" w:rsidRPr="00231180">
        <w:rPr>
          <w:rFonts w:ascii="Times New Roman" w:hAnsi="Times New Roman" w:cs="Times New Roman"/>
          <w:color w:val="000000" w:themeColor="text1"/>
          <w:sz w:val="20"/>
          <w:szCs w:val="20"/>
        </w:rPr>
        <w:t xml:space="preserve"> </w:t>
      </w:r>
      <w:r w:rsidRPr="00231180">
        <w:rPr>
          <w:rFonts w:ascii="Times New Roman" w:hAnsi="Times New Roman" w:cs="Times New Roman"/>
          <w:color w:val="000000" w:themeColor="text1"/>
          <w:sz w:val="20"/>
          <w:szCs w:val="20"/>
        </w:rPr>
        <w:t xml:space="preserve">y </w:t>
      </w:r>
      <w:r w:rsidR="00E638B5">
        <w:rPr>
          <w:rFonts w:ascii="Times New Roman" w:hAnsi="Times New Roman" w:cs="Times New Roman"/>
          <w:color w:val="000000" w:themeColor="text1"/>
          <w:sz w:val="20"/>
          <w:szCs w:val="20"/>
          <w:u w:val="single"/>
        </w:rPr>
        <w:t>000</w:t>
      </w:r>
      <w:hyperlink r:id="rId9" w:history="1">
        <w:r w:rsidR="004A49A5" w:rsidRPr="00231180">
          <w:rPr>
            <w:rStyle w:val="Hipervnculo"/>
            <w:rFonts w:ascii="Times New Roman" w:hAnsi="Times New Roman" w:cs="Times New Roman"/>
            <w:sz w:val="20"/>
            <w:szCs w:val="20"/>
          </w:rPr>
          <w:t>sa@hotmail.com</w:t>
        </w:r>
      </w:hyperlink>
      <w:r w:rsidR="004A49A5" w:rsidRPr="00231180">
        <w:rPr>
          <w:rFonts w:ascii="Times New Roman" w:hAnsi="Times New Roman" w:cs="Times New Roman"/>
          <w:color w:val="000000" w:themeColor="text1"/>
          <w:sz w:val="20"/>
          <w:szCs w:val="20"/>
        </w:rPr>
        <w:t xml:space="preserve"> </w:t>
      </w:r>
      <w:r w:rsidRPr="00231180">
        <w:rPr>
          <w:rFonts w:ascii="Times New Roman" w:hAnsi="Times New Roman" w:cs="Times New Roman"/>
          <w:b/>
          <w:bCs/>
          <w:color w:val="000000" w:themeColor="text1"/>
          <w:sz w:val="20"/>
          <w:szCs w:val="20"/>
        </w:rPr>
        <w:t xml:space="preserve">(ADJUNTAR COPIA DEL OFICIO </w:t>
      </w:r>
      <w:r w:rsidRPr="00231180">
        <w:rPr>
          <w:rFonts w:ascii="Times New Roman" w:hAnsi="Times New Roman" w:cs="Times New Roman"/>
          <w:b/>
          <w:bCs/>
          <w:sz w:val="20"/>
          <w:szCs w:val="20"/>
        </w:rPr>
        <w:t>CTP-DT-DING-INF-0235-2021</w:t>
      </w:r>
      <w:r w:rsidRPr="00231180">
        <w:rPr>
          <w:rFonts w:ascii="Times New Roman" w:hAnsi="Times New Roman" w:cs="Times New Roman"/>
          <w:b/>
          <w:bCs/>
          <w:color w:val="000000" w:themeColor="text1"/>
          <w:sz w:val="20"/>
          <w:szCs w:val="20"/>
        </w:rPr>
        <w:t xml:space="preserve">) </w:t>
      </w:r>
      <w:r w:rsidR="005C66DB" w:rsidRPr="00231180">
        <w:rPr>
          <w:rFonts w:ascii="Times New Roman" w:hAnsi="Times New Roman" w:cs="Times New Roman"/>
          <w:color w:val="000000" w:themeColor="text1"/>
          <w:sz w:val="20"/>
          <w:szCs w:val="20"/>
        </w:rPr>
        <w:t>(…)</w:t>
      </w:r>
      <w:r w:rsidR="004A49A5" w:rsidRPr="00231180">
        <w:rPr>
          <w:rFonts w:ascii="Times New Roman" w:hAnsi="Times New Roman" w:cs="Times New Roman"/>
          <w:color w:val="000000" w:themeColor="text1"/>
          <w:sz w:val="20"/>
          <w:szCs w:val="20"/>
        </w:rPr>
        <w:t>”</w:t>
      </w:r>
      <w:r w:rsidR="00335B60" w:rsidRPr="00231180">
        <w:rPr>
          <w:rFonts w:ascii="Times New Roman" w:hAnsi="Times New Roman" w:cs="Times New Roman"/>
          <w:color w:val="000000" w:themeColor="text1"/>
          <w:sz w:val="20"/>
          <w:szCs w:val="20"/>
        </w:rPr>
        <w:t>.</w:t>
      </w:r>
      <w:r w:rsidR="000A5F29" w:rsidRPr="00231180">
        <w:rPr>
          <w:rFonts w:ascii="Times New Roman" w:hAnsi="Times New Roman" w:cs="Times New Roman"/>
          <w:color w:val="000000" w:themeColor="text1"/>
          <w:sz w:val="20"/>
          <w:szCs w:val="20"/>
        </w:rPr>
        <w:t xml:space="preserve"> </w:t>
      </w:r>
      <w:r w:rsidR="00335B60" w:rsidRPr="00231180">
        <w:rPr>
          <w:rFonts w:ascii="Times New Roman" w:hAnsi="Times New Roman" w:cs="Times New Roman"/>
          <w:color w:val="000000" w:themeColor="text1"/>
          <w:sz w:val="20"/>
          <w:szCs w:val="20"/>
        </w:rPr>
        <w:t>(Léa</w:t>
      </w:r>
      <w:r w:rsidR="00D22D05" w:rsidRPr="00231180">
        <w:rPr>
          <w:rFonts w:ascii="Times New Roman" w:hAnsi="Times New Roman" w:cs="Times New Roman"/>
          <w:color w:val="000000" w:themeColor="text1"/>
          <w:sz w:val="20"/>
          <w:szCs w:val="20"/>
        </w:rPr>
        <w:t>n</w:t>
      </w:r>
      <w:r w:rsidR="005C66DB" w:rsidRPr="00231180">
        <w:rPr>
          <w:rFonts w:ascii="Times New Roman" w:hAnsi="Times New Roman" w:cs="Times New Roman"/>
          <w:color w:val="000000" w:themeColor="text1"/>
          <w:sz w:val="20"/>
          <w:szCs w:val="20"/>
        </w:rPr>
        <w:t xml:space="preserve">se </w:t>
      </w:r>
      <w:r w:rsidR="00D22D05" w:rsidRPr="00231180">
        <w:rPr>
          <w:rFonts w:ascii="Times New Roman" w:hAnsi="Times New Roman" w:cs="Times New Roman"/>
          <w:color w:val="000000" w:themeColor="text1"/>
          <w:sz w:val="20"/>
          <w:szCs w:val="20"/>
        </w:rPr>
        <w:t xml:space="preserve">los folios </w:t>
      </w:r>
      <w:r w:rsidR="008A2E4A" w:rsidRPr="00231180">
        <w:rPr>
          <w:rFonts w:ascii="Times New Roman" w:hAnsi="Times New Roman" w:cs="Times New Roman"/>
          <w:color w:val="000000" w:themeColor="text1"/>
          <w:sz w:val="20"/>
          <w:szCs w:val="20"/>
        </w:rPr>
        <w:t>20 vuelto</w:t>
      </w:r>
      <w:r w:rsidR="00335B60" w:rsidRPr="00231180">
        <w:rPr>
          <w:rFonts w:ascii="Times New Roman" w:hAnsi="Times New Roman" w:cs="Times New Roman"/>
          <w:color w:val="000000" w:themeColor="text1"/>
          <w:sz w:val="20"/>
          <w:szCs w:val="20"/>
        </w:rPr>
        <w:t xml:space="preserve"> </w:t>
      </w:r>
      <w:r w:rsidR="00DE5693" w:rsidRPr="00231180">
        <w:rPr>
          <w:rFonts w:ascii="Times New Roman" w:hAnsi="Times New Roman" w:cs="Times New Roman"/>
          <w:color w:val="000000" w:themeColor="text1"/>
          <w:sz w:val="20"/>
          <w:szCs w:val="20"/>
        </w:rPr>
        <w:t xml:space="preserve">al 33 </w:t>
      </w:r>
      <w:r w:rsidR="00335B60" w:rsidRPr="00231180">
        <w:rPr>
          <w:rFonts w:ascii="Times New Roman" w:hAnsi="Times New Roman" w:cs="Times New Roman"/>
          <w:color w:val="000000" w:themeColor="text1"/>
          <w:sz w:val="20"/>
          <w:szCs w:val="20"/>
        </w:rPr>
        <w:t xml:space="preserve">del expediente </w:t>
      </w:r>
      <w:r w:rsidR="00A47FB4" w:rsidRPr="00231180">
        <w:rPr>
          <w:rFonts w:ascii="Times New Roman" w:hAnsi="Times New Roman" w:cs="Times New Roman"/>
          <w:color w:val="000000" w:themeColor="text1"/>
          <w:sz w:val="20"/>
          <w:szCs w:val="20"/>
        </w:rPr>
        <w:t>TAT-068-22</w:t>
      </w:r>
      <w:r w:rsidR="00335B60" w:rsidRPr="00231180">
        <w:rPr>
          <w:rFonts w:ascii="Times New Roman" w:hAnsi="Times New Roman" w:cs="Times New Roman"/>
          <w:color w:val="000000" w:themeColor="text1"/>
          <w:sz w:val="20"/>
          <w:szCs w:val="20"/>
        </w:rPr>
        <w:t>)</w:t>
      </w:r>
    </w:p>
    <w:p w14:paraId="47B03A23" w14:textId="77777777" w:rsidR="004F4860" w:rsidRPr="00231180" w:rsidRDefault="004F4860" w:rsidP="00231180">
      <w:pPr>
        <w:ind w:left="397"/>
        <w:jc w:val="both"/>
        <w:rPr>
          <w:color w:val="000000" w:themeColor="text1"/>
          <w:sz w:val="20"/>
          <w:szCs w:val="20"/>
        </w:rPr>
      </w:pPr>
    </w:p>
    <w:p w14:paraId="3FFA7572" w14:textId="14305135" w:rsidR="004F4860" w:rsidRPr="00231180" w:rsidRDefault="004F4860" w:rsidP="00231180">
      <w:pPr>
        <w:ind w:left="397"/>
        <w:jc w:val="both"/>
        <w:rPr>
          <w:color w:val="000000" w:themeColor="text1"/>
          <w:sz w:val="20"/>
          <w:szCs w:val="20"/>
        </w:rPr>
      </w:pPr>
      <w:r w:rsidRPr="00231180">
        <w:rPr>
          <w:color w:val="000000" w:themeColor="text1"/>
          <w:sz w:val="20"/>
          <w:szCs w:val="20"/>
        </w:rPr>
        <w:t xml:space="preserve">El acuerdo fue notificado el </w:t>
      </w:r>
      <w:r w:rsidRPr="00231180">
        <w:rPr>
          <w:b/>
          <w:bCs/>
          <w:color w:val="000000" w:themeColor="text1"/>
          <w:sz w:val="20"/>
          <w:szCs w:val="20"/>
        </w:rPr>
        <w:t>16 de agosto de 2021</w:t>
      </w:r>
      <w:r w:rsidRPr="00231180">
        <w:rPr>
          <w:color w:val="000000" w:themeColor="text1"/>
          <w:sz w:val="20"/>
          <w:szCs w:val="20"/>
        </w:rPr>
        <w:t xml:space="preserve"> vía correo electrónico a las direcciones </w:t>
      </w:r>
      <w:hyperlink r:id="rId10" w:history="1">
        <w:r w:rsidR="00E638B5">
          <w:rPr>
            <w:rStyle w:val="Hipervnculo"/>
            <w:sz w:val="20"/>
            <w:szCs w:val="20"/>
            <w:u w:val="none"/>
          </w:rPr>
          <w:t>000</w:t>
        </w:r>
        <w:r w:rsidR="00EE3A2F" w:rsidRPr="00231180">
          <w:rPr>
            <w:rStyle w:val="Hipervnculo"/>
            <w:sz w:val="20"/>
            <w:szCs w:val="20"/>
            <w:u w:val="none"/>
          </w:rPr>
          <w:t>@yahoo.com</w:t>
        </w:r>
      </w:hyperlink>
      <w:r w:rsidR="00EE3A2F" w:rsidRPr="00231180">
        <w:rPr>
          <w:color w:val="000000" w:themeColor="text1"/>
          <w:sz w:val="20"/>
          <w:szCs w:val="20"/>
        </w:rPr>
        <w:t xml:space="preserve"> </w:t>
      </w:r>
      <w:r w:rsidRPr="00231180">
        <w:rPr>
          <w:color w:val="000000" w:themeColor="text1"/>
          <w:sz w:val="20"/>
          <w:szCs w:val="20"/>
        </w:rPr>
        <w:t xml:space="preserve">y </w:t>
      </w:r>
      <w:hyperlink r:id="rId11" w:history="1">
        <w:r w:rsidR="00EE3A2F" w:rsidRPr="00231180">
          <w:rPr>
            <w:rStyle w:val="Hipervnculo"/>
            <w:sz w:val="20"/>
            <w:szCs w:val="20"/>
            <w:u w:val="none"/>
          </w:rPr>
          <w:t>a</w:t>
        </w:r>
        <w:r w:rsidR="004A49A5" w:rsidRPr="00231180">
          <w:rPr>
            <w:color w:val="000000" w:themeColor="text1"/>
            <w:sz w:val="20"/>
            <w:szCs w:val="20"/>
          </w:rPr>
          <w:t xml:space="preserve"> </w:t>
        </w:r>
        <w:r w:rsidR="00E638B5">
          <w:rPr>
            <w:color w:val="000000" w:themeColor="text1"/>
            <w:sz w:val="20"/>
            <w:szCs w:val="20"/>
          </w:rPr>
          <w:t>000</w:t>
        </w:r>
        <w:hyperlink r:id="rId12" w:history="1">
          <w:r w:rsidR="004A49A5" w:rsidRPr="00231180">
            <w:rPr>
              <w:rStyle w:val="Hipervnculo"/>
              <w:sz w:val="20"/>
              <w:szCs w:val="20"/>
              <w:u w:val="none"/>
            </w:rPr>
            <w:t>sa@hotmail.com</w:t>
          </w:r>
        </w:hyperlink>
      </w:hyperlink>
      <w:r w:rsidRPr="00231180">
        <w:rPr>
          <w:color w:val="000000" w:themeColor="text1"/>
          <w:sz w:val="20"/>
          <w:szCs w:val="20"/>
        </w:rPr>
        <w:t>.</w:t>
      </w:r>
      <w:r w:rsidR="00EE3A2F" w:rsidRPr="00231180">
        <w:rPr>
          <w:color w:val="000000" w:themeColor="text1"/>
          <w:sz w:val="20"/>
          <w:szCs w:val="20"/>
        </w:rPr>
        <w:t xml:space="preserve"> </w:t>
      </w:r>
      <w:r w:rsidRPr="00231180">
        <w:rPr>
          <w:color w:val="000000" w:themeColor="text1"/>
          <w:sz w:val="20"/>
          <w:szCs w:val="20"/>
        </w:rPr>
        <w:t xml:space="preserve">(Léase el folio </w:t>
      </w:r>
      <w:r w:rsidR="00EE3A2F" w:rsidRPr="00231180">
        <w:rPr>
          <w:color w:val="000000" w:themeColor="text1"/>
          <w:sz w:val="20"/>
          <w:szCs w:val="20"/>
        </w:rPr>
        <w:t>34</w:t>
      </w:r>
      <w:r w:rsidRPr="00231180">
        <w:rPr>
          <w:color w:val="000000" w:themeColor="text1"/>
          <w:sz w:val="20"/>
          <w:szCs w:val="20"/>
        </w:rPr>
        <w:t xml:space="preserve"> del expediente TAT-068-22)</w:t>
      </w:r>
    </w:p>
    <w:p w14:paraId="7A7717C8" w14:textId="77777777" w:rsidR="002F5503" w:rsidRPr="00961540" w:rsidRDefault="002F5503" w:rsidP="00961540">
      <w:pPr>
        <w:spacing w:line="276" w:lineRule="auto"/>
        <w:jc w:val="both"/>
        <w:rPr>
          <w:color w:val="000000" w:themeColor="text1"/>
        </w:rPr>
      </w:pPr>
    </w:p>
    <w:p w14:paraId="45D858A7" w14:textId="3AB081C5" w:rsidR="002F5503" w:rsidRPr="00961540" w:rsidRDefault="0012502B" w:rsidP="00231180">
      <w:pPr>
        <w:spacing w:line="276" w:lineRule="auto"/>
        <w:jc w:val="both"/>
        <w:rPr>
          <w:color w:val="000000" w:themeColor="text1"/>
        </w:rPr>
      </w:pPr>
      <w:r w:rsidRPr="00961540">
        <w:rPr>
          <w:b/>
          <w:color w:val="000000" w:themeColor="text1"/>
        </w:rPr>
        <w:t xml:space="preserve">SEGUNDO. </w:t>
      </w:r>
      <w:r w:rsidR="00294150" w:rsidRPr="00961540">
        <w:rPr>
          <w:b/>
          <w:color w:val="000000" w:themeColor="text1"/>
        </w:rPr>
        <w:t>–</w:t>
      </w:r>
      <w:r w:rsidR="002F5503" w:rsidRPr="00961540">
        <w:rPr>
          <w:b/>
          <w:color w:val="000000" w:themeColor="text1"/>
        </w:rPr>
        <w:t xml:space="preserve"> </w:t>
      </w:r>
      <w:r w:rsidR="00294150" w:rsidRPr="00961540">
        <w:rPr>
          <w:bCs/>
          <w:color w:val="000000" w:themeColor="text1"/>
        </w:rPr>
        <w:t>El</w:t>
      </w:r>
      <w:r w:rsidR="00294150" w:rsidRPr="00961540">
        <w:rPr>
          <w:b/>
          <w:color w:val="000000" w:themeColor="text1"/>
        </w:rPr>
        <w:t xml:space="preserve"> </w:t>
      </w:r>
      <w:r w:rsidR="00D4506F" w:rsidRPr="00961540">
        <w:rPr>
          <w:b/>
          <w:color w:val="000000" w:themeColor="text1"/>
        </w:rPr>
        <w:t>23</w:t>
      </w:r>
      <w:r w:rsidR="00294150" w:rsidRPr="00961540">
        <w:rPr>
          <w:b/>
          <w:color w:val="000000" w:themeColor="text1"/>
        </w:rPr>
        <w:t xml:space="preserve"> de </w:t>
      </w:r>
      <w:r w:rsidR="00D4506F" w:rsidRPr="00961540">
        <w:rPr>
          <w:b/>
          <w:color w:val="000000" w:themeColor="text1"/>
        </w:rPr>
        <w:t>agosto</w:t>
      </w:r>
      <w:r w:rsidR="00294150" w:rsidRPr="00961540">
        <w:rPr>
          <w:b/>
          <w:color w:val="000000" w:themeColor="text1"/>
        </w:rPr>
        <w:t xml:space="preserve"> de 202</w:t>
      </w:r>
      <w:r w:rsidR="00D4506F" w:rsidRPr="00961540">
        <w:rPr>
          <w:b/>
          <w:color w:val="000000" w:themeColor="text1"/>
        </w:rPr>
        <w:t>1</w:t>
      </w:r>
      <w:r w:rsidR="00294150" w:rsidRPr="00961540">
        <w:rPr>
          <w:bCs/>
          <w:color w:val="000000" w:themeColor="text1"/>
        </w:rPr>
        <w:t xml:space="preserve">, </w:t>
      </w:r>
      <w:r w:rsidR="00D4506F" w:rsidRPr="00961540">
        <w:rPr>
          <w:bCs/>
          <w:color w:val="000000" w:themeColor="text1"/>
        </w:rPr>
        <w:t>l</w:t>
      </w:r>
      <w:r w:rsidR="00455D0F" w:rsidRPr="00961540">
        <w:rPr>
          <w:bCs/>
          <w:color w:val="000000" w:themeColor="text1"/>
        </w:rPr>
        <w:t>a</w:t>
      </w:r>
      <w:r w:rsidR="00016A37" w:rsidRPr="00961540">
        <w:rPr>
          <w:color w:val="000000" w:themeColor="text1"/>
        </w:rPr>
        <w:t xml:space="preserve"> empresa </w:t>
      </w:r>
      <w:r w:rsidR="00455D0F" w:rsidRPr="00961540">
        <w:rPr>
          <w:color w:val="000000" w:themeColor="text1"/>
        </w:rPr>
        <w:t xml:space="preserve">recurrente por medio de su </w:t>
      </w:r>
      <w:r w:rsidR="00D4506F" w:rsidRPr="00961540">
        <w:rPr>
          <w:color w:val="000000" w:themeColor="text1"/>
        </w:rPr>
        <w:t>apoderada,</w:t>
      </w:r>
      <w:r w:rsidR="00455D0F" w:rsidRPr="00961540">
        <w:rPr>
          <w:color w:val="000000" w:themeColor="text1"/>
        </w:rPr>
        <w:t xml:space="preserve"> </w:t>
      </w:r>
      <w:r w:rsidR="00D4506F" w:rsidRPr="00961540">
        <w:rPr>
          <w:color w:val="000000" w:themeColor="text1"/>
        </w:rPr>
        <w:t xml:space="preserve">la </w:t>
      </w:r>
      <w:r w:rsidR="00455D0F" w:rsidRPr="00961540">
        <w:rPr>
          <w:color w:val="000000" w:themeColor="text1"/>
        </w:rPr>
        <w:t xml:space="preserve">señora </w:t>
      </w:r>
      <w:r w:rsidR="00E638B5">
        <w:rPr>
          <w:color w:val="000000" w:themeColor="text1"/>
        </w:rPr>
        <w:t>LICS</w:t>
      </w:r>
      <w:r w:rsidR="00D4506F" w:rsidRPr="00961540">
        <w:rPr>
          <w:color w:val="000000" w:themeColor="text1"/>
        </w:rPr>
        <w:t xml:space="preserve">, cédula de identidad </w:t>
      </w:r>
      <w:r w:rsidR="00E638B5">
        <w:rPr>
          <w:color w:val="000000" w:themeColor="text1"/>
        </w:rPr>
        <w:t>000</w:t>
      </w:r>
      <w:r w:rsidR="00016A37" w:rsidRPr="00961540">
        <w:rPr>
          <w:color w:val="000000" w:themeColor="text1"/>
        </w:rPr>
        <w:t xml:space="preserve">, </w:t>
      </w:r>
      <w:r w:rsidR="00455D0F" w:rsidRPr="00961540">
        <w:rPr>
          <w:color w:val="000000" w:themeColor="text1"/>
        </w:rPr>
        <w:t xml:space="preserve">presenta </w:t>
      </w:r>
      <w:r w:rsidR="00A2194F" w:rsidRPr="00961540">
        <w:rPr>
          <w:b/>
          <w:smallCaps/>
          <w:color w:val="000000" w:themeColor="text1"/>
        </w:rPr>
        <w:t>recurso de apelación parcial en subsidio</w:t>
      </w:r>
      <w:r w:rsidR="00D4506F" w:rsidRPr="00961540">
        <w:rPr>
          <w:b/>
          <w:smallCaps/>
          <w:color w:val="000000" w:themeColor="text1"/>
        </w:rPr>
        <w:t xml:space="preserve">, </w:t>
      </w:r>
      <w:r w:rsidR="00D4506F" w:rsidRPr="00961540">
        <w:rPr>
          <w:color w:val="000000" w:themeColor="text1"/>
        </w:rPr>
        <w:t xml:space="preserve">en contra del </w:t>
      </w:r>
      <w:r w:rsidR="00D4506F" w:rsidRPr="00961540">
        <w:rPr>
          <w:b/>
          <w:color w:val="000000" w:themeColor="text1"/>
        </w:rPr>
        <w:t xml:space="preserve">Artículo 3.2 de la Sesión Ordinaria 61-2021 de 12 de agosto de 2021 </w:t>
      </w:r>
      <w:r w:rsidR="00D4506F" w:rsidRPr="00961540">
        <w:rPr>
          <w:color w:val="000000" w:themeColor="text1"/>
        </w:rPr>
        <w:t>emitido por la Junta Directiva del Consejo de Transporte Público y su informe CTP-DT-DING-INF-235-2021</w:t>
      </w:r>
      <w:r w:rsidR="00455D0F" w:rsidRPr="00961540">
        <w:rPr>
          <w:bCs/>
          <w:color w:val="000000" w:themeColor="text1"/>
        </w:rPr>
        <w:t>,</w:t>
      </w:r>
      <w:r w:rsidR="00455D0F" w:rsidRPr="00961540">
        <w:rPr>
          <w:b/>
          <w:color w:val="000000" w:themeColor="text1"/>
        </w:rPr>
        <w:t xml:space="preserve"> </w:t>
      </w:r>
      <w:r w:rsidR="00455D0F" w:rsidRPr="00961540">
        <w:rPr>
          <w:color w:val="000000" w:themeColor="text1"/>
        </w:rPr>
        <w:t xml:space="preserve">indicando </w:t>
      </w:r>
      <w:r w:rsidR="009B639D" w:rsidRPr="00961540">
        <w:rPr>
          <w:color w:val="000000" w:themeColor="text1"/>
        </w:rPr>
        <w:t xml:space="preserve">en resumen lo siguiente: </w:t>
      </w:r>
    </w:p>
    <w:p w14:paraId="17CDE865" w14:textId="40DD0639" w:rsidR="002F5503" w:rsidRPr="00961540" w:rsidRDefault="002F5503" w:rsidP="00961540">
      <w:pPr>
        <w:spacing w:line="276" w:lineRule="auto"/>
        <w:jc w:val="both"/>
        <w:rPr>
          <w:bCs/>
          <w:color w:val="000000" w:themeColor="text1"/>
        </w:rPr>
      </w:pPr>
      <w:bookmarkStart w:id="2" w:name="_Hlk130455271"/>
    </w:p>
    <w:p w14:paraId="7A449EAE" w14:textId="623E6BED" w:rsidR="00D4506F" w:rsidRPr="00961540" w:rsidRDefault="00D4506F" w:rsidP="00231180">
      <w:pPr>
        <w:pStyle w:val="Prrafodelista"/>
        <w:numPr>
          <w:ilvl w:val="0"/>
          <w:numId w:val="2"/>
        </w:numPr>
        <w:ind w:left="714" w:hanging="357"/>
        <w:contextualSpacing w:val="0"/>
        <w:jc w:val="both"/>
        <w:rPr>
          <w:bCs/>
          <w:color w:val="000000" w:themeColor="text1"/>
        </w:rPr>
      </w:pPr>
      <w:r w:rsidRPr="00961540">
        <w:rPr>
          <w:bCs/>
          <w:color w:val="000000" w:themeColor="text1"/>
        </w:rPr>
        <w:t xml:space="preserve">Alega la empresa recurrente que está parcialmente de acuerdo con el informe del Departamento de Ingeniería en cuanto a la unificación de códigos realizada pero no en cuanto a la cantidad de unidades autorizada (19), porque superan realmente las que se ocupan para brindar el servicio. </w:t>
      </w:r>
    </w:p>
    <w:p w14:paraId="3D8E816D" w14:textId="79DA8676" w:rsidR="007B79AC" w:rsidRDefault="00D4506F" w:rsidP="00231180">
      <w:pPr>
        <w:pStyle w:val="Prrafodelista"/>
        <w:numPr>
          <w:ilvl w:val="0"/>
          <w:numId w:val="2"/>
        </w:numPr>
        <w:ind w:left="714" w:hanging="357"/>
        <w:contextualSpacing w:val="0"/>
        <w:jc w:val="both"/>
        <w:rPr>
          <w:bCs/>
          <w:color w:val="000000" w:themeColor="text1"/>
          <w:lang w:val="es-CR"/>
        </w:rPr>
      </w:pPr>
      <w:r w:rsidRPr="00961540">
        <w:rPr>
          <w:bCs/>
          <w:color w:val="000000" w:themeColor="text1"/>
          <w:lang w:val="es-CR"/>
        </w:rPr>
        <w:t xml:space="preserve">Refiere la recurrente que los ramales </w:t>
      </w:r>
      <w:r w:rsidR="00806A4B">
        <w:rPr>
          <w:bCs/>
          <w:smallCaps/>
          <w:color w:val="000000" w:themeColor="text1"/>
          <w:lang w:val="es-CR"/>
        </w:rPr>
        <w:t>000</w:t>
      </w:r>
      <w:r w:rsidR="007B79AC" w:rsidRPr="007B79AC">
        <w:rPr>
          <w:bCs/>
          <w:color w:val="000000" w:themeColor="text1"/>
          <w:lang w:val="es-CR"/>
        </w:rPr>
        <w:t xml:space="preserve"> -</w:t>
      </w:r>
      <w:r w:rsidR="00806A4B">
        <w:rPr>
          <w:bCs/>
          <w:color w:val="000000" w:themeColor="text1"/>
          <w:lang w:val="es-CR"/>
        </w:rPr>
        <w:t>000</w:t>
      </w:r>
      <w:r w:rsidRPr="00961540">
        <w:rPr>
          <w:bCs/>
          <w:color w:val="000000" w:themeColor="text1"/>
          <w:lang w:val="es-CR"/>
        </w:rPr>
        <w:t>, solamente se ocupa una</w:t>
      </w:r>
      <w:r w:rsidR="00D6430A" w:rsidRPr="00961540">
        <w:rPr>
          <w:bCs/>
          <w:color w:val="000000" w:themeColor="text1"/>
          <w:lang w:val="es-CR"/>
        </w:rPr>
        <w:t xml:space="preserve"> (1) unidad, </w:t>
      </w:r>
      <w:r w:rsidR="00F4788E" w:rsidRPr="00961540">
        <w:rPr>
          <w:bCs/>
          <w:color w:val="000000" w:themeColor="text1"/>
          <w:lang w:val="es-CR"/>
        </w:rPr>
        <w:t xml:space="preserve">de acuerdo al rol de horarios que </w:t>
      </w:r>
      <w:r w:rsidR="007B79AC">
        <w:rPr>
          <w:bCs/>
          <w:color w:val="000000" w:themeColor="text1"/>
          <w:lang w:val="es-CR"/>
        </w:rPr>
        <w:t>proponen.</w:t>
      </w:r>
    </w:p>
    <w:p w14:paraId="1AC4D673" w14:textId="4BC91C8F" w:rsidR="00F4788E" w:rsidRPr="00961540" w:rsidRDefault="000876CD" w:rsidP="00231180">
      <w:pPr>
        <w:pStyle w:val="Prrafodelista"/>
        <w:numPr>
          <w:ilvl w:val="0"/>
          <w:numId w:val="2"/>
        </w:numPr>
        <w:ind w:left="697" w:hanging="357"/>
        <w:contextualSpacing w:val="0"/>
        <w:jc w:val="both"/>
        <w:rPr>
          <w:bCs/>
          <w:color w:val="000000" w:themeColor="text1"/>
        </w:rPr>
      </w:pPr>
      <w:r w:rsidRPr="00961540">
        <w:rPr>
          <w:bCs/>
          <w:color w:val="000000" w:themeColor="text1"/>
        </w:rPr>
        <w:t>Alega que</w:t>
      </w:r>
      <w:r w:rsidR="00D60B99" w:rsidRPr="00961540">
        <w:rPr>
          <w:bCs/>
          <w:color w:val="000000" w:themeColor="text1"/>
        </w:rPr>
        <w:t xml:space="preserve"> de acuerdo a los mapas de los recorridos se demuestra que son un solo corredor y que no se ocupan 3 unidades para brindar servicio en estos ramales.</w:t>
      </w:r>
      <w:r w:rsidRPr="00961540">
        <w:rPr>
          <w:bCs/>
          <w:color w:val="000000" w:themeColor="text1"/>
        </w:rPr>
        <w:t xml:space="preserve"> </w:t>
      </w:r>
    </w:p>
    <w:p w14:paraId="710F35C3" w14:textId="0F384892" w:rsidR="00D4506F" w:rsidRPr="00961540" w:rsidRDefault="007B79AC" w:rsidP="00231180">
      <w:pPr>
        <w:pStyle w:val="Prrafodelista"/>
        <w:numPr>
          <w:ilvl w:val="0"/>
          <w:numId w:val="2"/>
        </w:numPr>
        <w:ind w:left="697" w:hanging="357"/>
        <w:contextualSpacing w:val="0"/>
        <w:jc w:val="both"/>
        <w:rPr>
          <w:bCs/>
          <w:color w:val="000000" w:themeColor="text1"/>
        </w:rPr>
      </w:pPr>
      <w:r>
        <w:rPr>
          <w:bCs/>
          <w:color w:val="000000" w:themeColor="text1"/>
        </w:rPr>
        <w:t xml:space="preserve">Enuncia </w:t>
      </w:r>
      <w:r w:rsidR="00D60B99" w:rsidRPr="00961540">
        <w:rPr>
          <w:bCs/>
          <w:color w:val="000000" w:themeColor="text1"/>
        </w:rPr>
        <w:t xml:space="preserve">los kilometrajes a líneas 4, 5 y 6 referente a los ramales </w:t>
      </w:r>
      <w:r w:rsidR="00806A4B">
        <w:rPr>
          <w:bCs/>
          <w:color w:val="000000" w:themeColor="text1"/>
          <w:lang w:val="es-CR"/>
        </w:rPr>
        <w:t>000</w:t>
      </w:r>
      <w:r w:rsidRPr="007B79AC">
        <w:rPr>
          <w:bCs/>
          <w:color w:val="000000" w:themeColor="text1"/>
          <w:lang w:val="es-CR"/>
        </w:rPr>
        <w:t xml:space="preserve"> -</w:t>
      </w:r>
      <w:r w:rsidR="00806A4B">
        <w:rPr>
          <w:bCs/>
          <w:color w:val="000000" w:themeColor="text1"/>
          <w:lang w:val="es-CR"/>
        </w:rPr>
        <w:t>000</w:t>
      </w:r>
      <w:r w:rsidR="00D60B99" w:rsidRPr="00961540">
        <w:rPr>
          <w:bCs/>
          <w:smallCaps/>
          <w:color w:val="000000" w:themeColor="text1"/>
          <w:lang w:val="es-CR"/>
        </w:rPr>
        <w:t xml:space="preserve">, </w:t>
      </w:r>
      <w:r w:rsidR="00D60B99" w:rsidRPr="00961540">
        <w:rPr>
          <w:bCs/>
          <w:color w:val="000000" w:themeColor="text1"/>
        </w:rPr>
        <w:t>se observan sus kilometrajes.</w:t>
      </w:r>
    </w:p>
    <w:p w14:paraId="134D4B10" w14:textId="4230FAFA" w:rsidR="00A2194F" w:rsidRDefault="007B79AC" w:rsidP="00231180">
      <w:pPr>
        <w:pStyle w:val="Prrafodelista"/>
        <w:numPr>
          <w:ilvl w:val="0"/>
          <w:numId w:val="2"/>
        </w:numPr>
        <w:ind w:left="697" w:hanging="357"/>
        <w:contextualSpacing w:val="0"/>
        <w:jc w:val="both"/>
        <w:rPr>
          <w:bCs/>
          <w:color w:val="000000" w:themeColor="text1"/>
        </w:rPr>
      </w:pPr>
      <w:r>
        <w:rPr>
          <w:bCs/>
          <w:color w:val="000000" w:themeColor="text1"/>
        </w:rPr>
        <w:t xml:space="preserve">Considera </w:t>
      </w:r>
      <w:r w:rsidR="00947511" w:rsidRPr="00961540">
        <w:rPr>
          <w:bCs/>
          <w:color w:val="000000" w:themeColor="text1"/>
        </w:rPr>
        <w:t>que aumentar a 19 unidades la flota óptima sería innecesario, más en los tiempos de pandemia por COVID 19.</w:t>
      </w:r>
    </w:p>
    <w:p w14:paraId="0F9E41C5" w14:textId="05883A6A" w:rsidR="001A04F4" w:rsidRPr="00A2194F" w:rsidRDefault="00947511" w:rsidP="00231180">
      <w:pPr>
        <w:pStyle w:val="Prrafodelista"/>
        <w:numPr>
          <w:ilvl w:val="0"/>
          <w:numId w:val="2"/>
        </w:numPr>
        <w:ind w:left="697" w:hanging="357"/>
        <w:contextualSpacing w:val="0"/>
        <w:jc w:val="both"/>
        <w:rPr>
          <w:bCs/>
          <w:color w:val="000000" w:themeColor="text1"/>
        </w:rPr>
      </w:pPr>
      <w:r w:rsidRPr="00A2194F">
        <w:rPr>
          <w:bCs/>
          <w:color w:val="000000" w:themeColor="text1"/>
        </w:rPr>
        <w:t>Peticiona que se dé con lugar el presente recurso, se deje sin efecto parcialmente el informe técnico CTP-DT-DING-INF-0235-2021 del Departamento de Ingeniería, en lo que se refiere al aumento de flota óptima; y se solicite al Departamento Técnico valorar y</w:t>
      </w:r>
      <w:r w:rsidR="007B79AC">
        <w:rPr>
          <w:bCs/>
          <w:color w:val="000000" w:themeColor="text1"/>
        </w:rPr>
        <w:t>/</w:t>
      </w:r>
      <w:r w:rsidRPr="00A2194F">
        <w:rPr>
          <w:bCs/>
          <w:color w:val="000000" w:themeColor="text1"/>
        </w:rPr>
        <w:t xml:space="preserve">o revisar dicho oficio, autorizando un total de 17 unidades. </w:t>
      </w:r>
      <w:r w:rsidR="009B639D" w:rsidRPr="00A2194F">
        <w:rPr>
          <w:bCs/>
          <w:color w:val="000000" w:themeColor="text1"/>
        </w:rPr>
        <w:t xml:space="preserve">(Léanse los folios del </w:t>
      </w:r>
      <w:r w:rsidR="00A2194F" w:rsidRPr="00A2194F">
        <w:rPr>
          <w:bCs/>
          <w:color w:val="000000" w:themeColor="text1"/>
        </w:rPr>
        <w:t>12</w:t>
      </w:r>
      <w:r w:rsidR="009B639D" w:rsidRPr="00A2194F">
        <w:rPr>
          <w:bCs/>
          <w:color w:val="000000" w:themeColor="text1"/>
        </w:rPr>
        <w:t xml:space="preserve"> al </w:t>
      </w:r>
      <w:r w:rsidR="00A2194F" w:rsidRPr="00A2194F">
        <w:rPr>
          <w:bCs/>
          <w:color w:val="000000" w:themeColor="text1"/>
        </w:rPr>
        <w:t>20</w:t>
      </w:r>
      <w:r w:rsidR="009B639D" w:rsidRPr="00A2194F">
        <w:rPr>
          <w:bCs/>
          <w:color w:val="000000" w:themeColor="text1"/>
        </w:rPr>
        <w:t xml:space="preserve"> del expediente administrativo</w:t>
      </w:r>
      <w:r w:rsidR="00016A37" w:rsidRPr="00A2194F">
        <w:rPr>
          <w:bCs/>
          <w:color w:val="000000" w:themeColor="text1"/>
        </w:rPr>
        <w:t xml:space="preserve"> </w:t>
      </w:r>
      <w:r w:rsidR="00A47FB4" w:rsidRPr="00A2194F">
        <w:rPr>
          <w:bCs/>
          <w:color w:val="000000" w:themeColor="text1"/>
        </w:rPr>
        <w:t>TAT-068-22</w:t>
      </w:r>
      <w:r w:rsidR="009B639D" w:rsidRPr="00A2194F">
        <w:rPr>
          <w:bCs/>
          <w:color w:val="000000" w:themeColor="text1"/>
        </w:rPr>
        <w:t>)</w:t>
      </w:r>
    </w:p>
    <w:bookmarkEnd w:id="2"/>
    <w:p w14:paraId="454DEB52" w14:textId="77777777" w:rsidR="002F5503" w:rsidRPr="00961540" w:rsidRDefault="002F5503" w:rsidP="00961540">
      <w:pPr>
        <w:spacing w:line="276" w:lineRule="auto"/>
        <w:jc w:val="both"/>
        <w:rPr>
          <w:color w:val="000000" w:themeColor="text1"/>
        </w:rPr>
      </w:pPr>
    </w:p>
    <w:p w14:paraId="3035106F" w14:textId="02F2EDC9" w:rsidR="00016A37" w:rsidRPr="00961540" w:rsidRDefault="0012502B" w:rsidP="00231180">
      <w:pPr>
        <w:spacing w:line="276" w:lineRule="auto"/>
        <w:jc w:val="both"/>
        <w:rPr>
          <w:color w:val="000000" w:themeColor="text1"/>
        </w:rPr>
      </w:pPr>
      <w:r w:rsidRPr="00961540">
        <w:rPr>
          <w:b/>
          <w:color w:val="000000" w:themeColor="text1"/>
        </w:rPr>
        <w:t>TERCERO. -</w:t>
      </w:r>
      <w:r w:rsidR="002F5503" w:rsidRPr="00961540">
        <w:rPr>
          <w:b/>
          <w:color w:val="000000" w:themeColor="text1"/>
        </w:rPr>
        <w:t xml:space="preserve"> </w:t>
      </w:r>
      <w:r w:rsidR="001A04F4" w:rsidRPr="00961540">
        <w:rPr>
          <w:color w:val="000000" w:themeColor="text1"/>
        </w:rPr>
        <w:t xml:space="preserve">La Junta Directiva del Consejo de Transporte Público, </w:t>
      </w:r>
      <w:r w:rsidR="001D4835" w:rsidRPr="00961540">
        <w:rPr>
          <w:color w:val="000000" w:themeColor="text1"/>
        </w:rPr>
        <w:t xml:space="preserve">en el </w:t>
      </w:r>
      <w:r w:rsidR="00016A37" w:rsidRPr="00961540">
        <w:rPr>
          <w:b/>
          <w:color w:val="000000" w:themeColor="text1"/>
        </w:rPr>
        <w:t>Artículo 7.</w:t>
      </w:r>
      <w:r w:rsidR="00CC45B2" w:rsidRPr="00961540">
        <w:rPr>
          <w:b/>
          <w:color w:val="000000" w:themeColor="text1"/>
        </w:rPr>
        <w:t>5</w:t>
      </w:r>
      <w:r w:rsidR="00016A37" w:rsidRPr="00961540">
        <w:rPr>
          <w:b/>
          <w:color w:val="000000" w:themeColor="text1"/>
        </w:rPr>
        <w:t xml:space="preserve"> de la Sesión Ordinaria </w:t>
      </w:r>
      <w:r w:rsidR="00CC45B2" w:rsidRPr="00961540">
        <w:rPr>
          <w:b/>
          <w:color w:val="000000" w:themeColor="text1"/>
        </w:rPr>
        <w:t>94</w:t>
      </w:r>
      <w:r w:rsidR="00016A37" w:rsidRPr="00961540">
        <w:rPr>
          <w:b/>
          <w:color w:val="000000" w:themeColor="text1"/>
        </w:rPr>
        <w:t xml:space="preserve">-2021 del </w:t>
      </w:r>
      <w:r w:rsidR="00CC45B2" w:rsidRPr="00961540">
        <w:rPr>
          <w:b/>
          <w:color w:val="000000" w:themeColor="text1"/>
        </w:rPr>
        <w:t>7 de diciembre</w:t>
      </w:r>
      <w:r w:rsidR="00016A37" w:rsidRPr="00961540">
        <w:rPr>
          <w:b/>
          <w:color w:val="000000" w:themeColor="text1"/>
        </w:rPr>
        <w:t xml:space="preserve"> de 2021</w:t>
      </w:r>
      <w:r w:rsidR="001A04F4" w:rsidRPr="00231180">
        <w:rPr>
          <w:bCs/>
          <w:color w:val="000000" w:themeColor="text1"/>
        </w:rPr>
        <w:t xml:space="preserve">, </w:t>
      </w:r>
      <w:r w:rsidR="001A04F4" w:rsidRPr="00961540">
        <w:rPr>
          <w:color w:val="000000" w:themeColor="text1"/>
        </w:rPr>
        <w:t xml:space="preserve">conoce el informe </w:t>
      </w:r>
      <w:r w:rsidR="00016A37" w:rsidRPr="00961540">
        <w:rPr>
          <w:b/>
          <w:color w:val="000000" w:themeColor="text1"/>
        </w:rPr>
        <w:t>CTP-</w:t>
      </w:r>
      <w:r w:rsidR="001A04F4" w:rsidRPr="00961540">
        <w:rPr>
          <w:b/>
          <w:color w:val="000000" w:themeColor="text1"/>
        </w:rPr>
        <w:t>AJ-</w:t>
      </w:r>
      <w:r w:rsidR="00016A37" w:rsidRPr="00961540">
        <w:rPr>
          <w:b/>
          <w:color w:val="000000" w:themeColor="text1"/>
        </w:rPr>
        <w:t>OF-2021-</w:t>
      </w:r>
      <w:r w:rsidR="00CC45B2" w:rsidRPr="00961540">
        <w:rPr>
          <w:b/>
          <w:color w:val="000000" w:themeColor="text1"/>
        </w:rPr>
        <w:t>1372</w:t>
      </w:r>
      <w:r w:rsidR="00016A37" w:rsidRPr="00961540">
        <w:rPr>
          <w:b/>
          <w:color w:val="000000" w:themeColor="text1"/>
        </w:rPr>
        <w:t xml:space="preserve"> del </w:t>
      </w:r>
      <w:r w:rsidR="00CC45B2" w:rsidRPr="00961540">
        <w:rPr>
          <w:b/>
          <w:color w:val="000000" w:themeColor="text1"/>
        </w:rPr>
        <w:t>24 de noviembre de 2021</w:t>
      </w:r>
      <w:r w:rsidR="00016A37" w:rsidRPr="00961540">
        <w:rPr>
          <w:bCs/>
          <w:color w:val="000000" w:themeColor="text1"/>
        </w:rPr>
        <w:t>, presentado por</w:t>
      </w:r>
      <w:r w:rsidR="00016A37" w:rsidRPr="00961540">
        <w:rPr>
          <w:b/>
          <w:color w:val="000000" w:themeColor="text1"/>
        </w:rPr>
        <w:t xml:space="preserve"> </w:t>
      </w:r>
      <w:r w:rsidR="00016A37" w:rsidRPr="00961540">
        <w:rPr>
          <w:color w:val="000000" w:themeColor="text1"/>
        </w:rPr>
        <w:t xml:space="preserve">la Dirección de Asuntos Jurídicos </w:t>
      </w:r>
      <w:r w:rsidR="00CC45B2" w:rsidRPr="00961540">
        <w:rPr>
          <w:color w:val="000000" w:themeColor="text1"/>
        </w:rPr>
        <w:t xml:space="preserve">referente al recurso de revocatoria parcial contra el acuerdo contenido en el </w:t>
      </w:r>
      <w:r w:rsidR="00CC45B2" w:rsidRPr="00961540">
        <w:rPr>
          <w:b/>
          <w:color w:val="000000" w:themeColor="text1"/>
        </w:rPr>
        <w:t xml:space="preserve">Artículo 3.2 de la Sesión Ordinaria 61-2021 </w:t>
      </w:r>
      <w:r w:rsidR="008D576D">
        <w:rPr>
          <w:b/>
          <w:color w:val="000000" w:themeColor="text1"/>
        </w:rPr>
        <w:t>de 12 de agosto de 2021</w:t>
      </w:r>
      <w:r w:rsidR="00CC45B2" w:rsidRPr="008D576D">
        <w:rPr>
          <w:bCs/>
          <w:color w:val="000000" w:themeColor="text1"/>
        </w:rPr>
        <w:t>,</w:t>
      </w:r>
      <w:r w:rsidR="00CC45B2" w:rsidRPr="00961540">
        <w:rPr>
          <w:b/>
          <w:color w:val="000000" w:themeColor="text1"/>
        </w:rPr>
        <w:t xml:space="preserve"> </w:t>
      </w:r>
      <w:r w:rsidR="001A04F4" w:rsidRPr="00961540">
        <w:rPr>
          <w:color w:val="000000" w:themeColor="text1"/>
        </w:rPr>
        <w:t>y</w:t>
      </w:r>
      <w:r w:rsidR="00016A37" w:rsidRPr="00961540">
        <w:rPr>
          <w:color w:val="000000" w:themeColor="text1"/>
        </w:rPr>
        <w:t xml:space="preserve"> dispone lo siguiente:</w:t>
      </w:r>
    </w:p>
    <w:p w14:paraId="02CE1E65" w14:textId="77777777" w:rsidR="00016A37" w:rsidRPr="00961540" w:rsidRDefault="00016A37" w:rsidP="00961540">
      <w:pPr>
        <w:pStyle w:val="Default"/>
        <w:spacing w:line="276" w:lineRule="auto"/>
        <w:jc w:val="both"/>
        <w:rPr>
          <w:rFonts w:ascii="Times New Roman" w:hAnsi="Times New Roman" w:cs="Times New Roman"/>
          <w:b/>
          <w:bCs/>
          <w:color w:val="000000" w:themeColor="text1"/>
          <w:sz w:val="18"/>
          <w:szCs w:val="18"/>
        </w:rPr>
      </w:pPr>
    </w:p>
    <w:p w14:paraId="3870AB16" w14:textId="0A2A674C" w:rsidR="00016A37" w:rsidRPr="00231180" w:rsidRDefault="00016A37" w:rsidP="00961540">
      <w:pPr>
        <w:pStyle w:val="Default"/>
        <w:ind w:left="851" w:right="851"/>
        <w:jc w:val="both"/>
        <w:rPr>
          <w:rFonts w:ascii="Times New Roman" w:hAnsi="Times New Roman" w:cs="Times New Roman"/>
          <w:b/>
          <w:bCs/>
          <w:color w:val="000000" w:themeColor="text1"/>
          <w:sz w:val="20"/>
          <w:szCs w:val="20"/>
        </w:rPr>
      </w:pPr>
      <w:r w:rsidRPr="00231180">
        <w:rPr>
          <w:rFonts w:ascii="Times New Roman" w:hAnsi="Times New Roman" w:cs="Times New Roman"/>
          <w:color w:val="000000" w:themeColor="text1"/>
          <w:sz w:val="20"/>
          <w:szCs w:val="20"/>
        </w:rPr>
        <w:t xml:space="preserve">“(…) </w:t>
      </w:r>
      <w:r w:rsidRPr="00231180">
        <w:rPr>
          <w:rFonts w:ascii="Times New Roman" w:hAnsi="Times New Roman" w:cs="Times New Roman"/>
          <w:b/>
          <w:bCs/>
          <w:color w:val="000000" w:themeColor="text1"/>
          <w:sz w:val="20"/>
          <w:szCs w:val="20"/>
        </w:rPr>
        <w:t>POR TANTO SE ACUERDA</w:t>
      </w:r>
      <w:r w:rsidR="0097663B" w:rsidRPr="00231180">
        <w:rPr>
          <w:rFonts w:ascii="Times New Roman" w:hAnsi="Times New Roman" w:cs="Times New Roman"/>
          <w:b/>
          <w:bCs/>
          <w:color w:val="000000" w:themeColor="text1"/>
          <w:sz w:val="20"/>
          <w:szCs w:val="20"/>
        </w:rPr>
        <w:t>:</w:t>
      </w:r>
      <w:r w:rsidRPr="00231180">
        <w:rPr>
          <w:rFonts w:ascii="Times New Roman" w:hAnsi="Times New Roman" w:cs="Times New Roman"/>
          <w:b/>
          <w:bCs/>
          <w:color w:val="000000" w:themeColor="text1"/>
          <w:sz w:val="20"/>
          <w:szCs w:val="20"/>
        </w:rPr>
        <w:t xml:space="preserve"> </w:t>
      </w:r>
    </w:p>
    <w:p w14:paraId="55602CC8" w14:textId="77777777" w:rsidR="00016A37" w:rsidRPr="00231180" w:rsidRDefault="00016A37" w:rsidP="00961540">
      <w:pPr>
        <w:pStyle w:val="Default"/>
        <w:ind w:left="397" w:right="397"/>
        <w:jc w:val="both"/>
        <w:rPr>
          <w:rFonts w:ascii="Times New Roman" w:hAnsi="Times New Roman" w:cs="Times New Roman"/>
          <w:b/>
          <w:bCs/>
          <w:color w:val="000000" w:themeColor="text1"/>
          <w:sz w:val="20"/>
          <w:szCs w:val="20"/>
        </w:rPr>
      </w:pPr>
    </w:p>
    <w:p w14:paraId="6F057B38" w14:textId="231E0E37" w:rsidR="008E434F" w:rsidRPr="00231180" w:rsidRDefault="00016A37" w:rsidP="00961540">
      <w:pPr>
        <w:pStyle w:val="Prrafodelista"/>
        <w:numPr>
          <w:ilvl w:val="0"/>
          <w:numId w:val="3"/>
        </w:numPr>
        <w:ind w:right="851"/>
        <w:contextualSpacing w:val="0"/>
        <w:jc w:val="both"/>
        <w:rPr>
          <w:color w:val="000000" w:themeColor="text1"/>
          <w:sz w:val="20"/>
          <w:szCs w:val="20"/>
        </w:rPr>
      </w:pPr>
      <w:r w:rsidRPr="00231180">
        <w:rPr>
          <w:color w:val="000000" w:themeColor="text1"/>
          <w:sz w:val="20"/>
          <w:szCs w:val="20"/>
        </w:rPr>
        <w:t xml:space="preserve">Aprobar todas las recomendaciones contenidas en el oficio </w:t>
      </w:r>
      <w:r w:rsidR="00CC45B2" w:rsidRPr="00231180">
        <w:rPr>
          <w:b/>
          <w:color w:val="000000" w:themeColor="text1"/>
          <w:sz w:val="20"/>
          <w:szCs w:val="20"/>
        </w:rPr>
        <w:t>CTP-AJ-OF-2021-1372</w:t>
      </w:r>
      <w:r w:rsidRPr="00231180">
        <w:rPr>
          <w:color w:val="000000" w:themeColor="text1"/>
          <w:sz w:val="20"/>
          <w:szCs w:val="20"/>
        </w:rPr>
        <w:t xml:space="preserve">, el cual forma parte integral de este acuerdo. </w:t>
      </w:r>
    </w:p>
    <w:p w14:paraId="703EC0D8" w14:textId="2C2DDDA9" w:rsidR="00CC45B2" w:rsidRPr="00231180" w:rsidRDefault="00CC45B2" w:rsidP="00961540">
      <w:pPr>
        <w:pStyle w:val="Prrafodelista"/>
        <w:numPr>
          <w:ilvl w:val="0"/>
          <w:numId w:val="3"/>
        </w:numPr>
        <w:ind w:right="851"/>
        <w:contextualSpacing w:val="0"/>
        <w:jc w:val="both"/>
        <w:rPr>
          <w:color w:val="000000" w:themeColor="text1"/>
          <w:sz w:val="20"/>
          <w:szCs w:val="20"/>
        </w:rPr>
      </w:pPr>
      <w:r w:rsidRPr="00231180">
        <w:rPr>
          <w:color w:val="000000" w:themeColor="text1"/>
          <w:sz w:val="20"/>
          <w:szCs w:val="20"/>
        </w:rPr>
        <w:t xml:space="preserve">Rechazar el recurso de revocatoria parcial contra el artículo 7.2 de la sesión ordinaria número 61-2021 por improcedente, siendo que la recurrente no aporta criterios técnicos que justifiquen la reducción en las unidades de 19 a 17, siendo que ella misma facilitó el informe certificado por el ente acreditado por el ECA, en el cual se indicó que se requieren 18 unidades para poder cumplir con el servicio, ya que los primeros 18 autobuses corresponden a los ramales 1, 2, 3 y 4 (producto del estudio de </w:t>
      </w:r>
      <w:r w:rsidR="00E638B5">
        <w:rPr>
          <w:color w:val="000000" w:themeColor="text1"/>
          <w:sz w:val="20"/>
          <w:szCs w:val="20"/>
        </w:rPr>
        <w:t>I</w:t>
      </w:r>
      <w:r w:rsidRPr="00231180">
        <w:rPr>
          <w:color w:val="000000" w:themeColor="text1"/>
          <w:sz w:val="20"/>
          <w:szCs w:val="20"/>
        </w:rPr>
        <w:t xml:space="preserve">) y la última unidad (unidad 19) corresponde a los ramales 4 y 5, recalcando el </w:t>
      </w:r>
      <w:r w:rsidRPr="00231180">
        <w:rPr>
          <w:color w:val="000000" w:themeColor="text1"/>
          <w:sz w:val="20"/>
          <w:szCs w:val="20"/>
        </w:rPr>
        <w:lastRenderedPageBreak/>
        <w:t>informe técnico, que en el informe entregado por la empresa T</w:t>
      </w:r>
      <w:r w:rsidR="00806A4B">
        <w:rPr>
          <w:color w:val="000000" w:themeColor="text1"/>
          <w:sz w:val="20"/>
          <w:szCs w:val="20"/>
        </w:rPr>
        <w:t>P</w:t>
      </w:r>
      <w:r w:rsidRPr="00231180">
        <w:rPr>
          <w:color w:val="000000" w:themeColor="text1"/>
          <w:sz w:val="20"/>
          <w:szCs w:val="20"/>
        </w:rPr>
        <w:t>, no se solicitó reestructurar la ruta, no se presentó información de demanda que justificara algún tipo de cambio para los ramales 4, 5 y 6, por lo que la solicitud de 17 unidades que solicitan en la petitoria del recurso de revocatoria parcial, por sí sola va en contra del estudio técnico realizado por el Organismo de Inspección Acreditado ante el ECA, y mismo que fue presentado por la recurrente.</w:t>
      </w:r>
    </w:p>
    <w:p w14:paraId="6950189D" w14:textId="0ECFE60C" w:rsidR="00CC45B2" w:rsidRPr="00231180" w:rsidRDefault="00CC45B2" w:rsidP="00961540">
      <w:pPr>
        <w:pStyle w:val="Prrafodelista"/>
        <w:numPr>
          <w:ilvl w:val="0"/>
          <w:numId w:val="3"/>
        </w:numPr>
        <w:ind w:right="851"/>
        <w:contextualSpacing w:val="0"/>
        <w:jc w:val="both"/>
        <w:rPr>
          <w:color w:val="000000" w:themeColor="text1"/>
          <w:sz w:val="20"/>
          <w:szCs w:val="20"/>
        </w:rPr>
      </w:pPr>
      <w:r w:rsidRPr="00231180">
        <w:rPr>
          <w:color w:val="000000" w:themeColor="text1"/>
          <w:sz w:val="20"/>
          <w:szCs w:val="20"/>
        </w:rPr>
        <w:t xml:space="preserve">Elevar la apelación ante el Tribunal Administrativo de Transportes </w:t>
      </w:r>
      <w:r w:rsidR="008D576D" w:rsidRPr="00231180">
        <w:rPr>
          <w:color w:val="000000" w:themeColor="text1"/>
          <w:sz w:val="20"/>
          <w:szCs w:val="20"/>
        </w:rPr>
        <w:t xml:space="preserve">(sic) </w:t>
      </w:r>
      <w:r w:rsidRPr="00231180">
        <w:rPr>
          <w:color w:val="000000" w:themeColor="text1"/>
          <w:sz w:val="20"/>
          <w:szCs w:val="20"/>
        </w:rPr>
        <w:t>para su atención conforme a derecho corresponde.</w:t>
      </w:r>
    </w:p>
    <w:p w14:paraId="40CD1C19" w14:textId="5892D082" w:rsidR="00CC45B2" w:rsidRPr="00231180" w:rsidRDefault="00CC45B2" w:rsidP="00961540">
      <w:pPr>
        <w:pStyle w:val="Prrafodelista"/>
        <w:numPr>
          <w:ilvl w:val="0"/>
          <w:numId w:val="3"/>
        </w:numPr>
        <w:ind w:right="851"/>
        <w:contextualSpacing w:val="0"/>
        <w:jc w:val="both"/>
        <w:rPr>
          <w:color w:val="000000" w:themeColor="text1"/>
          <w:sz w:val="20"/>
          <w:szCs w:val="20"/>
        </w:rPr>
      </w:pPr>
      <w:r w:rsidRPr="00231180">
        <w:rPr>
          <w:color w:val="000000" w:themeColor="text1"/>
          <w:sz w:val="20"/>
          <w:szCs w:val="20"/>
        </w:rPr>
        <w:t xml:space="preserve">Notifíquese: </w:t>
      </w:r>
      <w:r w:rsidR="00E638B5">
        <w:rPr>
          <w:color w:val="000000" w:themeColor="text1"/>
          <w:sz w:val="20"/>
          <w:szCs w:val="20"/>
        </w:rPr>
        <w:t>TPCQ</w:t>
      </w:r>
      <w:r w:rsidRPr="00231180">
        <w:rPr>
          <w:color w:val="000000" w:themeColor="text1"/>
          <w:sz w:val="20"/>
          <w:szCs w:val="20"/>
        </w:rPr>
        <w:t xml:space="preserve"> S.A., a los correos</w:t>
      </w:r>
    </w:p>
    <w:p w14:paraId="594990F0" w14:textId="182BE44D" w:rsidR="002F5503" w:rsidRPr="00231180" w:rsidRDefault="00E638B5" w:rsidP="00961540">
      <w:pPr>
        <w:pStyle w:val="Prrafodelista"/>
        <w:numPr>
          <w:ilvl w:val="0"/>
          <w:numId w:val="3"/>
        </w:numPr>
        <w:ind w:right="851"/>
        <w:contextualSpacing w:val="0"/>
        <w:jc w:val="both"/>
        <w:rPr>
          <w:color w:val="000000" w:themeColor="text1"/>
          <w:sz w:val="20"/>
          <w:szCs w:val="20"/>
        </w:rPr>
      </w:pPr>
      <w:r>
        <w:rPr>
          <w:color w:val="000000" w:themeColor="text1"/>
          <w:sz w:val="20"/>
          <w:szCs w:val="20"/>
        </w:rPr>
        <w:t>000</w:t>
      </w:r>
      <w:r w:rsidR="00CC45B2" w:rsidRPr="00231180">
        <w:rPr>
          <w:color w:val="000000" w:themeColor="text1"/>
          <w:sz w:val="20"/>
          <w:szCs w:val="20"/>
        </w:rPr>
        <w:t xml:space="preserve">@yahoo.com y autobuseschilsac@yahoo.com (ADJUNTAR COPIA DEL OFICIO CTP-AJ-OF-2021-001372) </w:t>
      </w:r>
      <w:r w:rsidR="00016A37" w:rsidRPr="00231180">
        <w:rPr>
          <w:color w:val="000000" w:themeColor="text1"/>
          <w:sz w:val="20"/>
          <w:szCs w:val="20"/>
        </w:rPr>
        <w:t>(…)”</w:t>
      </w:r>
      <w:r w:rsidR="002F5503" w:rsidRPr="00231180">
        <w:rPr>
          <w:color w:val="000000" w:themeColor="text1"/>
          <w:sz w:val="20"/>
          <w:szCs w:val="20"/>
        </w:rPr>
        <w:t xml:space="preserve">. (Léase </w:t>
      </w:r>
      <w:r w:rsidR="008D576D" w:rsidRPr="00231180">
        <w:rPr>
          <w:color w:val="000000" w:themeColor="text1"/>
          <w:sz w:val="20"/>
          <w:szCs w:val="20"/>
        </w:rPr>
        <w:t>e</w:t>
      </w:r>
      <w:r w:rsidR="0097663B" w:rsidRPr="00231180">
        <w:rPr>
          <w:color w:val="000000" w:themeColor="text1"/>
          <w:sz w:val="20"/>
          <w:szCs w:val="20"/>
        </w:rPr>
        <w:t xml:space="preserve">l </w:t>
      </w:r>
      <w:r w:rsidR="002F5503" w:rsidRPr="00231180">
        <w:rPr>
          <w:color w:val="000000" w:themeColor="text1"/>
          <w:sz w:val="20"/>
          <w:szCs w:val="20"/>
        </w:rPr>
        <w:t xml:space="preserve">folio </w:t>
      </w:r>
      <w:r w:rsidR="008D576D" w:rsidRPr="00231180">
        <w:rPr>
          <w:color w:val="000000" w:themeColor="text1"/>
          <w:sz w:val="20"/>
          <w:szCs w:val="20"/>
        </w:rPr>
        <w:t>02 d</w:t>
      </w:r>
      <w:r w:rsidR="002F5503" w:rsidRPr="00231180">
        <w:rPr>
          <w:color w:val="000000" w:themeColor="text1"/>
          <w:sz w:val="20"/>
          <w:szCs w:val="20"/>
        </w:rPr>
        <w:t>el expediente administrativo</w:t>
      </w:r>
      <w:r w:rsidR="0097663B" w:rsidRPr="00231180">
        <w:rPr>
          <w:color w:val="000000" w:themeColor="text1"/>
          <w:sz w:val="20"/>
          <w:szCs w:val="20"/>
        </w:rPr>
        <w:t xml:space="preserve"> </w:t>
      </w:r>
      <w:r w:rsidR="00A47FB4" w:rsidRPr="00231180">
        <w:rPr>
          <w:color w:val="000000" w:themeColor="text1"/>
          <w:sz w:val="20"/>
          <w:szCs w:val="20"/>
        </w:rPr>
        <w:t>TAT-068-22</w:t>
      </w:r>
      <w:r w:rsidR="002F5503" w:rsidRPr="00231180">
        <w:rPr>
          <w:color w:val="000000" w:themeColor="text1"/>
          <w:sz w:val="20"/>
          <w:szCs w:val="20"/>
        </w:rPr>
        <w:t>)</w:t>
      </w:r>
    </w:p>
    <w:p w14:paraId="35216C8F" w14:textId="77777777" w:rsidR="008E434F" w:rsidRPr="00961540" w:rsidRDefault="008E434F" w:rsidP="00961540">
      <w:pPr>
        <w:spacing w:line="276" w:lineRule="auto"/>
        <w:jc w:val="both"/>
        <w:rPr>
          <w:color w:val="000000" w:themeColor="text1"/>
        </w:rPr>
      </w:pPr>
    </w:p>
    <w:p w14:paraId="764A3375" w14:textId="0DC38C6A" w:rsidR="002F5503" w:rsidRPr="00231180" w:rsidRDefault="008E434F" w:rsidP="00231180">
      <w:pPr>
        <w:spacing w:line="276" w:lineRule="auto"/>
        <w:jc w:val="both"/>
        <w:rPr>
          <w:color w:val="000000" w:themeColor="text1"/>
        </w:rPr>
      </w:pPr>
      <w:r w:rsidRPr="00231180">
        <w:rPr>
          <w:color w:val="000000" w:themeColor="text1"/>
        </w:rPr>
        <w:t xml:space="preserve">El acuerdo fue notificado el </w:t>
      </w:r>
      <w:r w:rsidR="00CC45B2" w:rsidRPr="00231180">
        <w:rPr>
          <w:b/>
          <w:bCs/>
          <w:color w:val="000000" w:themeColor="text1"/>
        </w:rPr>
        <w:t>8</w:t>
      </w:r>
      <w:r w:rsidRPr="00231180">
        <w:rPr>
          <w:b/>
          <w:bCs/>
          <w:color w:val="000000" w:themeColor="text1"/>
        </w:rPr>
        <w:t xml:space="preserve"> de </w:t>
      </w:r>
      <w:r w:rsidR="00CC45B2" w:rsidRPr="00231180">
        <w:rPr>
          <w:b/>
          <w:bCs/>
          <w:color w:val="000000" w:themeColor="text1"/>
        </w:rPr>
        <w:t>diciembre</w:t>
      </w:r>
      <w:r w:rsidRPr="00231180">
        <w:rPr>
          <w:b/>
          <w:bCs/>
          <w:color w:val="000000" w:themeColor="text1"/>
        </w:rPr>
        <w:t xml:space="preserve"> de 2021</w:t>
      </w:r>
      <w:r w:rsidRPr="00231180">
        <w:rPr>
          <w:color w:val="000000" w:themeColor="text1"/>
        </w:rPr>
        <w:t xml:space="preserve"> vía correo electrónico a la</w:t>
      </w:r>
      <w:r w:rsidR="00CC45B2" w:rsidRPr="00231180">
        <w:rPr>
          <w:color w:val="000000" w:themeColor="text1"/>
        </w:rPr>
        <w:t>s</w:t>
      </w:r>
      <w:r w:rsidRPr="00231180">
        <w:rPr>
          <w:color w:val="000000" w:themeColor="text1"/>
        </w:rPr>
        <w:t xml:space="preserve"> </w:t>
      </w:r>
      <w:r w:rsidR="00CC45B2" w:rsidRPr="00231180">
        <w:rPr>
          <w:color w:val="000000" w:themeColor="text1"/>
        </w:rPr>
        <w:t>direcciones</w:t>
      </w:r>
      <w:r w:rsidRPr="00231180">
        <w:rPr>
          <w:color w:val="000000" w:themeColor="text1"/>
        </w:rPr>
        <w:t xml:space="preserve"> </w:t>
      </w:r>
      <w:r w:rsidR="00E638B5">
        <w:rPr>
          <w:color w:val="000000" w:themeColor="text1"/>
        </w:rPr>
        <w:t>000</w:t>
      </w:r>
      <w:r w:rsidR="00CC45B2" w:rsidRPr="00231180">
        <w:rPr>
          <w:color w:val="000000" w:themeColor="text1"/>
        </w:rPr>
        <w:t>@yahoo.com y autobuseschilsac@yahoo.com</w:t>
      </w:r>
      <w:r w:rsidRPr="00231180">
        <w:rPr>
          <w:color w:val="000000" w:themeColor="text1"/>
        </w:rPr>
        <w:t xml:space="preserve">. (Léase el folio </w:t>
      </w:r>
      <w:r w:rsidR="008D576D" w:rsidRPr="00231180">
        <w:rPr>
          <w:color w:val="000000" w:themeColor="text1"/>
        </w:rPr>
        <w:t>0</w:t>
      </w:r>
      <w:r w:rsidR="00CC45B2" w:rsidRPr="00231180">
        <w:rPr>
          <w:color w:val="000000" w:themeColor="text1"/>
        </w:rPr>
        <w:t>3</w:t>
      </w:r>
      <w:r w:rsidRPr="00231180">
        <w:rPr>
          <w:color w:val="000000" w:themeColor="text1"/>
        </w:rPr>
        <w:t xml:space="preserve"> del expediente </w:t>
      </w:r>
      <w:r w:rsidR="00A47FB4" w:rsidRPr="00231180">
        <w:rPr>
          <w:color w:val="000000" w:themeColor="text1"/>
        </w:rPr>
        <w:t>TAT-068-22</w:t>
      </w:r>
      <w:r w:rsidRPr="00231180">
        <w:rPr>
          <w:color w:val="000000" w:themeColor="text1"/>
        </w:rPr>
        <w:t>)</w:t>
      </w:r>
    </w:p>
    <w:p w14:paraId="56F0B449" w14:textId="77777777" w:rsidR="008E434F" w:rsidRPr="00231180" w:rsidRDefault="008E434F" w:rsidP="00231180">
      <w:pPr>
        <w:spacing w:line="276" w:lineRule="auto"/>
        <w:jc w:val="both"/>
        <w:rPr>
          <w:color w:val="000000" w:themeColor="text1"/>
        </w:rPr>
      </w:pPr>
    </w:p>
    <w:p w14:paraId="446F7C42" w14:textId="3BC68D90" w:rsidR="002639D5" w:rsidRPr="00231180" w:rsidRDefault="00CA7214" w:rsidP="00231180">
      <w:pPr>
        <w:spacing w:line="276" w:lineRule="auto"/>
        <w:jc w:val="both"/>
        <w:rPr>
          <w:b/>
          <w:color w:val="000000" w:themeColor="text1"/>
          <w:u w:val="single"/>
        </w:rPr>
      </w:pPr>
      <w:r w:rsidRPr="00231180">
        <w:rPr>
          <w:b/>
          <w:color w:val="000000" w:themeColor="text1"/>
        </w:rPr>
        <w:t>CUARTO. -</w:t>
      </w:r>
      <w:r w:rsidR="002639D5" w:rsidRPr="00231180">
        <w:rPr>
          <w:b/>
          <w:color w:val="000000" w:themeColor="text1"/>
        </w:rPr>
        <w:t xml:space="preserve"> </w:t>
      </w:r>
      <w:r w:rsidR="002639D5" w:rsidRPr="00231180">
        <w:rPr>
          <w:color w:val="000000" w:themeColor="text1"/>
        </w:rPr>
        <w:t xml:space="preserve">El Tribunal Administrativo de Transporte </w:t>
      </w:r>
      <w:r w:rsidR="007B79AC">
        <w:rPr>
          <w:rFonts w:eastAsiaTheme="minorEastAsia"/>
          <w:color w:val="000000" w:themeColor="text1"/>
          <w:lang w:eastAsia="es-CR"/>
        </w:rPr>
        <w:t xml:space="preserve">mediante </w:t>
      </w:r>
      <w:r w:rsidRPr="00231180">
        <w:rPr>
          <w:rFonts w:eastAsiaTheme="minorEastAsia"/>
          <w:color w:val="000000" w:themeColor="text1"/>
          <w:lang w:eastAsia="es-CR"/>
        </w:rPr>
        <w:t>la Prevención N</w:t>
      </w:r>
      <w:r w:rsidR="00F5657C" w:rsidRPr="00231180">
        <w:rPr>
          <w:rFonts w:eastAsiaTheme="minorEastAsia"/>
          <w:color w:val="000000" w:themeColor="text1"/>
          <w:lang w:eastAsia="es-CR"/>
        </w:rPr>
        <w:t>o.</w:t>
      </w:r>
      <w:r w:rsidRPr="00231180">
        <w:rPr>
          <w:rFonts w:eastAsiaTheme="minorEastAsia"/>
          <w:color w:val="000000" w:themeColor="text1"/>
          <w:lang w:eastAsia="es-CR"/>
        </w:rPr>
        <w:t xml:space="preserve"> 1 de</w:t>
      </w:r>
      <w:r w:rsidR="002639D5" w:rsidRPr="00231180">
        <w:rPr>
          <w:rFonts w:eastAsiaTheme="minorEastAsia"/>
          <w:color w:val="000000" w:themeColor="text1"/>
          <w:lang w:eastAsia="es-CR"/>
        </w:rPr>
        <w:t xml:space="preserve"> </w:t>
      </w:r>
      <w:r w:rsidR="003F5482" w:rsidRPr="00231180">
        <w:rPr>
          <w:rFonts w:eastAsiaTheme="minorEastAsia"/>
          <w:color w:val="000000" w:themeColor="text1"/>
          <w:lang w:eastAsia="es-CR"/>
        </w:rPr>
        <w:t xml:space="preserve">la 10:35 horas del </w:t>
      </w:r>
      <w:r w:rsidR="00F5657C" w:rsidRPr="00231180">
        <w:rPr>
          <w:rFonts w:eastAsiaTheme="minorEastAsia"/>
          <w:color w:val="000000" w:themeColor="text1"/>
          <w:lang w:eastAsia="es-CR"/>
        </w:rPr>
        <w:t>4</w:t>
      </w:r>
      <w:r w:rsidR="003F5482" w:rsidRPr="00231180">
        <w:rPr>
          <w:rFonts w:eastAsiaTheme="minorEastAsia"/>
          <w:color w:val="000000" w:themeColor="text1"/>
          <w:lang w:eastAsia="es-CR"/>
        </w:rPr>
        <w:t xml:space="preserve"> de agosto de 2022</w:t>
      </w:r>
      <w:r w:rsidR="002639D5" w:rsidRPr="00231180">
        <w:rPr>
          <w:rFonts w:eastAsiaTheme="minorEastAsia"/>
          <w:color w:val="000000" w:themeColor="text1"/>
          <w:lang w:eastAsia="es-CR"/>
        </w:rPr>
        <w:t xml:space="preserve">, </w:t>
      </w:r>
      <w:r w:rsidR="003F5482" w:rsidRPr="00231180">
        <w:rPr>
          <w:rFonts w:eastAsiaTheme="minorEastAsia"/>
          <w:color w:val="000000" w:themeColor="text1"/>
          <w:lang w:eastAsia="es-CR"/>
        </w:rPr>
        <w:t xml:space="preserve">solicita a la Dirección Ejecutiva del CTP que remita copia certificada del </w:t>
      </w:r>
      <w:r w:rsidR="003F5482" w:rsidRPr="00231180">
        <w:rPr>
          <w:iCs/>
          <w:color w:val="000000" w:themeColor="text1"/>
          <w:lang w:val="es-CR"/>
        </w:rPr>
        <w:t>expediente administrativo No. 357392</w:t>
      </w:r>
      <w:r w:rsidR="003F5482" w:rsidRPr="00231180">
        <w:rPr>
          <w:b/>
          <w:bCs/>
          <w:i/>
          <w:color w:val="000000" w:themeColor="text1"/>
          <w:lang w:val="es-CR"/>
        </w:rPr>
        <w:t xml:space="preserve"> </w:t>
      </w:r>
      <w:r w:rsidR="003F5482" w:rsidRPr="00231180">
        <w:rPr>
          <w:iCs/>
          <w:color w:val="000000" w:themeColor="text1"/>
          <w:lang w:val="es-CR"/>
        </w:rPr>
        <w:t xml:space="preserve">en el que se encuentra el estudio realizado por la empresa </w:t>
      </w:r>
      <w:r w:rsidR="00E638B5">
        <w:rPr>
          <w:iCs/>
          <w:color w:val="000000" w:themeColor="text1"/>
          <w:lang w:val="es-CR"/>
        </w:rPr>
        <w:t>I</w:t>
      </w:r>
      <w:r w:rsidR="003F5482" w:rsidRPr="00231180">
        <w:rPr>
          <w:iCs/>
          <w:color w:val="000000" w:themeColor="text1"/>
          <w:lang w:val="es-CR"/>
        </w:rPr>
        <w:t xml:space="preserve"> para la</w:t>
      </w:r>
      <w:r w:rsidR="00954028">
        <w:rPr>
          <w:iCs/>
          <w:color w:val="000000" w:themeColor="text1"/>
          <w:lang w:val="es-CR"/>
        </w:rPr>
        <w:t>s</w:t>
      </w:r>
      <w:r w:rsidR="003F5482" w:rsidRPr="00231180">
        <w:rPr>
          <w:iCs/>
          <w:color w:val="000000" w:themeColor="text1"/>
          <w:lang w:val="es-CR"/>
        </w:rPr>
        <w:t xml:space="preserve"> Ruta</w:t>
      </w:r>
      <w:r w:rsidR="00954028">
        <w:rPr>
          <w:iCs/>
          <w:color w:val="000000" w:themeColor="text1"/>
          <w:lang w:val="es-CR"/>
        </w:rPr>
        <w:t>s</w:t>
      </w:r>
      <w:r w:rsidR="003F5482" w:rsidRPr="00231180">
        <w:rPr>
          <w:iCs/>
          <w:color w:val="000000" w:themeColor="text1"/>
          <w:lang w:val="es-CR"/>
        </w:rPr>
        <w:t xml:space="preserve"> No. </w:t>
      </w:r>
      <w:r w:rsidR="00E638B5">
        <w:rPr>
          <w:iCs/>
          <w:color w:val="000000" w:themeColor="text1"/>
          <w:lang w:val="es-CR"/>
        </w:rPr>
        <w:t>000</w:t>
      </w:r>
      <w:r w:rsidR="003F5482" w:rsidRPr="00231180">
        <w:rPr>
          <w:iCs/>
          <w:color w:val="000000" w:themeColor="text1"/>
          <w:lang w:val="es-CR"/>
        </w:rPr>
        <w:t xml:space="preserve"> y la</w:t>
      </w:r>
      <w:r w:rsidR="00954028">
        <w:rPr>
          <w:iCs/>
          <w:color w:val="000000" w:themeColor="text1"/>
          <w:lang w:val="es-CR"/>
        </w:rPr>
        <w:t xml:space="preserve"> </w:t>
      </w:r>
      <w:r w:rsidR="003F5482" w:rsidRPr="00231180">
        <w:rPr>
          <w:iCs/>
          <w:color w:val="000000" w:themeColor="text1"/>
          <w:lang w:val="es-CR"/>
        </w:rPr>
        <w:t xml:space="preserve">Ruta No. </w:t>
      </w:r>
      <w:r w:rsidR="00E638B5">
        <w:rPr>
          <w:iCs/>
          <w:color w:val="000000" w:themeColor="text1"/>
          <w:lang w:val="es-CR"/>
        </w:rPr>
        <w:t>000</w:t>
      </w:r>
      <w:r w:rsidR="003F5482" w:rsidRPr="00231180">
        <w:rPr>
          <w:iCs/>
          <w:color w:val="000000" w:themeColor="text1"/>
          <w:lang w:val="es-CR"/>
        </w:rPr>
        <w:t>, así como la gestión de la empresa recurrente respecto del estudio realizado por el organismo acreditado ante el ECA.</w:t>
      </w:r>
      <w:r w:rsidR="000F3B5C" w:rsidRPr="00231180">
        <w:rPr>
          <w:rFonts w:eastAsiaTheme="minorEastAsia"/>
          <w:smallCaps/>
          <w:color w:val="000000" w:themeColor="text1"/>
          <w:lang w:eastAsia="es-CR"/>
        </w:rPr>
        <w:t xml:space="preserve"> (</w:t>
      </w:r>
      <w:r w:rsidR="000F3B5C" w:rsidRPr="00231180">
        <w:rPr>
          <w:rFonts w:eastAsiaTheme="minorEastAsia"/>
          <w:color w:val="000000" w:themeColor="text1"/>
          <w:lang w:eastAsia="es-CR"/>
        </w:rPr>
        <w:t xml:space="preserve">Léanse los folios del </w:t>
      </w:r>
      <w:r w:rsidR="00F5657C" w:rsidRPr="00231180">
        <w:rPr>
          <w:rFonts w:eastAsiaTheme="minorEastAsia"/>
          <w:color w:val="000000" w:themeColor="text1"/>
          <w:lang w:eastAsia="es-CR"/>
        </w:rPr>
        <w:t>62 a 65</w:t>
      </w:r>
      <w:r w:rsidR="000F3B5C" w:rsidRPr="00231180">
        <w:rPr>
          <w:rFonts w:eastAsiaTheme="minorEastAsia"/>
          <w:color w:val="000000" w:themeColor="text1"/>
          <w:lang w:eastAsia="es-CR"/>
        </w:rPr>
        <w:t xml:space="preserve"> del expediente </w:t>
      </w:r>
      <w:r w:rsidR="00A47FB4" w:rsidRPr="00231180">
        <w:rPr>
          <w:rFonts w:eastAsiaTheme="minorEastAsia"/>
          <w:color w:val="000000" w:themeColor="text1"/>
          <w:lang w:eastAsia="es-CR"/>
        </w:rPr>
        <w:t>TAT-068-22</w:t>
      </w:r>
      <w:r w:rsidR="000F3B5C" w:rsidRPr="00231180">
        <w:rPr>
          <w:rFonts w:eastAsiaTheme="minorEastAsia"/>
          <w:color w:val="000000" w:themeColor="text1"/>
          <w:lang w:eastAsia="es-CR"/>
        </w:rPr>
        <w:t>)</w:t>
      </w:r>
    </w:p>
    <w:p w14:paraId="03FED223" w14:textId="4E0E1E9D" w:rsidR="002639D5" w:rsidRPr="00231180" w:rsidRDefault="002639D5" w:rsidP="00231180">
      <w:pPr>
        <w:spacing w:line="276" w:lineRule="auto"/>
        <w:jc w:val="both"/>
        <w:rPr>
          <w:rFonts w:eastAsiaTheme="minorEastAsia"/>
          <w:color w:val="000000" w:themeColor="text1"/>
          <w:lang w:eastAsia="es-CR"/>
        </w:rPr>
      </w:pPr>
    </w:p>
    <w:p w14:paraId="556E6D59" w14:textId="50DBDC79" w:rsidR="008E434F" w:rsidRPr="00231180" w:rsidRDefault="00E16C42" w:rsidP="00231180">
      <w:pPr>
        <w:spacing w:line="276" w:lineRule="auto"/>
        <w:jc w:val="both"/>
        <w:rPr>
          <w:color w:val="000000" w:themeColor="text1"/>
        </w:rPr>
      </w:pPr>
      <w:r w:rsidRPr="00231180">
        <w:rPr>
          <w:b/>
          <w:color w:val="000000" w:themeColor="text1"/>
        </w:rPr>
        <w:t xml:space="preserve">QUINTO. </w:t>
      </w:r>
      <w:r w:rsidR="003F5482" w:rsidRPr="00231180">
        <w:rPr>
          <w:b/>
          <w:color w:val="000000" w:themeColor="text1"/>
        </w:rPr>
        <w:t>–</w:t>
      </w:r>
      <w:r w:rsidR="00CA7214" w:rsidRPr="00231180">
        <w:rPr>
          <w:b/>
          <w:color w:val="000000" w:themeColor="text1"/>
        </w:rPr>
        <w:t xml:space="preserve"> </w:t>
      </w:r>
      <w:r w:rsidR="003F5482" w:rsidRPr="00231180">
        <w:rPr>
          <w:bCs/>
          <w:color w:val="000000" w:themeColor="text1"/>
        </w:rPr>
        <w:t xml:space="preserve">El </w:t>
      </w:r>
      <w:r w:rsidR="00F5657C" w:rsidRPr="00231180">
        <w:rPr>
          <w:b/>
          <w:color w:val="000000" w:themeColor="text1"/>
        </w:rPr>
        <w:t>6</w:t>
      </w:r>
      <w:r w:rsidR="003F5482" w:rsidRPr="00231180">
        <w:rPr>
          <w:b/>
          <w:color w:val="000000" w:themeColor="text1"/>
        </w:rPr>
        <w:t xml:space="preserve"> de </w:t>
      </w:r>
      <w:r w:rsidR="00F5657C" w:rsidRPr="00231180">
        <w:rPr>
          <w:b/>
          <w:color w:val="000000" w:themeColor="text1"/>
        </w:rPr>
        <w:t>setiembre</w:t>
      </w:r>
      <w:r w:rsidR="003F5482" w:rsidRPr="00231180">
        <w:rPr>
          <w:b/>
          <w:color w:val="000000" w:themeColor="text1"/>
        </w:rPr>
        <w:t xml:space="preserve"> de 2022</w:t>
      </w:r>
      <w:r w:rsidR="003F5482" w:rsidRPr="00231180">
        <w:rPr>
          <w:bCs/>
          <w:color w:val="000000" w:themeColor="text1"/>
        </w:rPr>
        <w:t xml:space="preserve">, el Consejo de Transporte Público remite el oficio </w:t>
      </w:r>
      <w:r w:rsidR="00954028">
        <w:rPr>
          <w:bCs/>
          <w:color w:val="000000" w:themeColor="text1"/>
        </w:rPr>
        <w:t xml:space="preserve">No. </w:t>
      </w:r>
      <w:r w:rsidR="003F5482" w:rsidRPr="00231180">
        <w:rPr>
          <w:color w:val="000000" w:themeColor="text1"/>
        </w:rPr>
        <w:t>CTP-SDA-OF-00</w:t>
      </w:r>
      <w:r w:rsidR="00F5657C" w:rsidRPr="00231180">
        <w:rPr>
          <w:color w:val="000000" w:themeColor="text1"/>
        </w:rPr>
        <w:t>119</w:t>
      </w:r>
      <w:r w:rsidR="00954028">
        <w:rPr>
          <w:color w:val="000000" w:themeColor="text1"/>
        </w:rPr>
        <w:t>-2022</w:t>
      </w:r>
      <w:r w:rsidR="003F5482" w:rsidRPr="00231180">
        <w:rPr>
          <w:color w:val="000000" w:themeColor="text1"/>
        </w:rPr>
        <w:t xml:space="preserve"> </w:t>
      </w:r>
      <w:r w:rsidR="003F5482" w:rsidRPr="00231180">
        <w:rPr>
          <w:bCs/>
          <w:color w:val="000000" w:themeColor="text1"/>
          <w:lang w:val="es-MX"/>
        </w:rPr>
        <w:t>de</w:t>
      </w:r>
      <w:r w:rsidR="00F5657C" w:rsidRPr="00231180">
        <w:rPr>
          <w:bCs/>
          <w:color w:val="000000" w:themeColor="text1"/>
          <w:lang w:val="es-MX"/>
        </w:rPr>
        <w:t xml:space="preserve"> 05</w:t>
      </w:r>
      <w:r w:rsidR="003F5482" w:rsidRPr="00231180">
        <w:rPr>
          <w:bCs/>
          <w:color w:val="000000" w:themeColor="text1"/>
          <w:lang w:val="es-MX"/>
        </w:rPr>
        <w:t xml:space="preserve"> de </w:t>
      </w:r>
      <w:r w:rsidR="00F5657C" w:rsidRPr="00231180">
        <w:rPr>
          <w:bCs/>
          <w:color w:val="000000" w:themeColor="text1"/>
          <w:lang w:val="es-MX"/>
        </w:rPr>
        <w:t>setiembre</w:t>
      </w:r>
      <w:r w:rsidR="003F5482" w:rsidRPr="00231180">
        <w:rPr>
          <w:bCs/>
          <w:color w:val="000000" w:themeColor="text1"/>
          <w:lang w:val="es-MX"/>
        </w:rPr>
        <w:t xml:space="preserve"> de 2022 por medio del cual</w:t>
      </w:r>
      <w:r w:rsidR="00F5657C" w:rsidRPr="00231180">
        <w:rPr>
          <w:bCs/>
          <w:color w:val="000000" w:themeColor="text1"/>
          <w:lang w:val="es-MX"/>
        </w:rPr>
        <w:t>,</w:t>
      </w:r>
      <w:r w:rsidR="003F5482" w:rsidRPr="00231180">
        <w:rPr>
          <w:bCs/>
          <w:color w:val="000000" w:themeColor="text1"/>
          <w:lang w:val="es-MX"/>
        </w:rPr>
        <w:t xml:space="preserve"> la Secretaría de Actas del CTP, remite certificación </w:t>
      </w:r>
      <w:r w:rsidR="00954028">
        <w:rPr>
          <w:bCs/>
          <w:color w:val="000000" w:themeColor="text1"/>
          <w:lang w:val="es-MX"/>
        </w:rPr>
        <w:t xml:space="preserve">No. </w:t>
      </w:r>
      <w:r w:rsidR="003F5482" w:rsidRPr="00231180">
        <w:rPr>
          <w:bCs/>
          <w:color w:val="000000" w:themeColor="text1"/>
          <w:lang w:val="es-MX"/>
        </w:rPr>
        <w:t>SDA/CTP-22-0</w:t>
      </w:r>
      <w:r w:rsidR="00F5657C" w:rsidRPr="00231180">
        <w:rPr>
          <w:bCs/>
          <w:color w:val="000000" w:themeColor="text1"/>
          <w:lang w:val="es-MX"/>
        </w:rPr>
        <w:t>9</w:t>
      </w:r>
      <w:r w:rsidR="003F5482" w:rsidRPr="00231180">
        <w:rPr>
          <w:bCs/>
          <w:color w:val="000000" w:themeColor="text1"/>
          <w:lang w:val="es-MX"/>
        </w:rPr>
        <w:t>-000</w:t>
      </w:r>
      <w:r w:rsidR="00F5657C" w:rsidRPr="00231180">
        <w:rPr>
          <w:bCs/>
          <w:color w:val="000000" w:themeColor="text1"/>
          <w:lang w:val="es-MX"/>
        </w:rPr>
        <w:t>17</w:t>
      </w:r>
      <w:r w:rsidR="003F5482" w:rsidRPr="00231180">
        <w:rPr>
          <w:bCs/>
          <w:color w:val="000000" w:themeColor="text1"/>
          <w:lang w:val="es-MX"/>
        </w:rPr>
        <w:t xml:space="preserve"> de las </w:t>
      </w:r>
      <w:r w:rsidR="00F5657C" w:rsidRPr="00231180">
        <w:rPr>
          <w:bCs/>
          <w:color w:val="000000" w:themeColor="text1"/>
          <w:lang w:val="es-MX"/>
        </w:rPr>
        <w:t>11</w:t>
      </w:r>
      <w:r w:rsidR="003F5482" w:rsidRPr="00231180">
        <w:rPr>
          <w:bCs/>
          <w:color w:val="000000" w:themeColor="text1"/>
          <w:lang w:val="es-MX"/>
        </w:rPr>
        <w:t>:</w:t>
      </w:r>
      <w:r w:rsidR="00F5657C" w:rsidRPr="00231180">
        <w:rPr>
          <w:bCs/>
          <w:color w:val="000000" w:themeColor="text1"/>
          <w:lang w:val="es-MX"/>
        </w:rPr>
        <w:t>35</w:t>
      </w:r>
      <w:r w:rsidR="003F5482" w:rsidRPr="00231180">
        <w:rPr>
          <w:bCs/>
          <w:color w:val="000000" w:themeColor="text1"/>
          <w:lang w:val="es-MX"/>
        </w:rPr>
        <w:t xml:space="preserve"> horas del </w:t>
      </w:r>
      <w:r w:rsidR="00F5657C" w:rsidRPr="00231180">
        <w:rPr>
          <w:bCs/>
          <w:color w:val="000000" w:themeColor="text1"/>
          <w:lang w:val="es-MX"/>
        </w:rPr>
        <w:t>5</w:t>
      </w:r>
      <w:r w:rsidR="003F5482" w:rsidRPr="00231180">
        <w:rPr>
          <w:bCs/>
          <w:color w:val="000000" w:themeColor="text1"/>
          <w:lang w:val="es-MX"/>
        </w:rPr>
        <w:t xml:space="preserve"> de </w:t>
      </w:r>
      <w:r w:rsidR="00F5657C" w:rsidRPr="00231180">
        <w:rPr>
          <w:bCs/>
          <w:color w:val="000000" w:themeColor="text1"/>
          <w:lang w:val="es-MX"/>
        </w:rPr>
        <w:t>setiembre d</w:t>
      </w:r>
      <w:r w:rsidR="003F5482" w:rsidRPr="00231180">
        <w:rPr>
          <w:bCs/>
          <w:color w:val="000000" w:themeColor="text1"/>
          <w:lang w:val="es-MX"/>
        </w:rPr>
        <w:t>e 2022, e</w:t>
      </w:r>
      <w:r w:rsidR="00F5657C" w:rsidRPr="00231180">
        <w:rPr>
          <w:bCs/>
          <w:color w:val="000000" w:themeColor="text1"/>
          <w:lang w:val="es-MX"/>
        </w:rPr>
        <w:t xml:space="preserve">l cual corresponde al Informe Técnico de actualización de variables de la Ruta </w:t>
      </w:r>
      <w:r w:rsidR="00E638B5">
        <w:rPr>
          <w:bCs/>
          <w:color w:val="000000" w:themeColor="text1"/>
          <w:lang w:val="es-MX"/>
        </w:rPr>
        <w:t>000</w:t>
      </w:r>
      <w:r w:rsidR="00F5657C" w:rsidRPr="00231180">
        <w:rPr>
          <w:bCs/>
          <w:color w:val="000000" w:themeColor="text1"/>
          <w:lang w:val="es-MX"/>
        </w:rPr>
        <w:t>-</w:t>
      </w:r>
      <w:r w:rsidR="00E638B5">
        <w:rPr>
          <w:bCs/>
          <w:color w:val="000000" w:themeColor="text1"/>
          <w:lang w:val="es-MX"/>
        </w:rPr>
        <w:t>000</w:t>
      </w:r>
      <w:r w:rsidR="00F5657C" w:rsidRPr="00231180">
        <w:rPr>
          <w:bCs/>
          <w:color w:val="000000" w:themeColor="text1"/>
          <w:lang w:val="es-MX"/>
        </w:rPr>
        <w:t xml:space="preserve"> operada por la empresa </w:t>
      </w:r>
      <w:r w:rsidR="00E638B5">
        <w:rPr>
          <w:color w:val="000000" w:themeColor="text1"/>
        </w:rPr>
        <w:t>TPCQ</w:t>
      </w:r>
      <w:r w:rsidR="00F5657C" w:rsidRPr="00231180">
        <w:rPr>
          <w:color w:val="000000" w:themeColor="text1"/>
        </w:rPr>
        <w:t xml:space="preserve"> S.A. (Léanse los folios del 66 al 99 del expediente TAT-068-22)</w:t>
      </w:r>
    </w:p>
    <w:p w14:paraId="123E3E2C" w14:textId="77777777" w:rsidR="00F5657C" w:rsidRPr="00231180" w:rsidRDefault="00F5657C" w:rsidP="00231180">
      <w:pPr>
        <w:spacing w:line="276" w:lineRule="auto"/>
        <w:jc w:val="both"/>
        <w:rPr>
          <w:color w:val="000000" w:themeColor="text1"/>
        </w:rPr>
      </w:pPr>
    </w:p>
    <w:p w14:paraId="4E7B1AF7" w14:textId="08DAA512" w:rsidR="00E16C42" w:rsidRPr="00231180" w:rsidRDefault="00E16C42" w:rsidP="00231180">
      <w:pPr>
        <w:spacing w:line="276" w:lineRule="auto"/>
        <w:jc w:val="both"/>
        <w:rPr>
          <w:rFonts w:eastAsiaTheme="minorEastAsia"/>
          <w:color w:val="000000" w:themeColor="text1"/>
          <w:lang w:eastAsia="es-CR"/>
        </w:rPr>
      </w:pPr>
      <w:r w:rsidRPr="00231180">
        <w:rPr>
          <w:b/>
          <w:color w:val="000000" w:themeColor="text1"/>
        </w:rPr>
        <w:t>SEXTO. -</w:t>
      </w:r>
      <w:r w:rsidR="00CA7214" w:rsidRPr="00231180">
        <w:rPr>
          <w:b/>
          <w:color w:val="000000" w:themeColor="text1"/>
        </w:rPr>
        <w:t xml:space="preserve"> </w:t>
      </w:r>
      <w:r w:rsidRPr="00231180">
        <w:rPr>
          <w:color w:val="000000" w:themeColor="text1"/>
        </w:rPr>
        <w:t>En los procedimientos se han observado las prescripciones legales.</w:t>
      </w:r>
    </w:p>
    <w:p w14:paraId="5061DD2A" w14:textId="77777777" w:rsidR="008E434F" w:rsidRPr="00231180" w:rsidRDefault="008E434F" w:rsidP="00231180">
      <w:pPr>
        <w:spacing w:line="276" w:lineRule="auto"/>
        <w:jc w:val="both"/>
        <w:rPr>
          <w:b/>
          <w:color w:val="000000" w:themeColor="text1"/>
        </w:rPr>
      </w:pPr>
    </w:p>
    <w:p w14:paraId="04B18D58" w14:textId="5A6048B8" w:rsidR="00541039" w:rsidRPr="00231180" w:rsidRDefault="00954028" w:rsidP="00231180">
      <w:pPr>
        <w:spacing w:line="276" w:lineRule="auto"/>
        <w:jc w:val="both"/>
        <w:rPr>
          <w:b/>
          <w:smallCaps/>
          <w:color w:val="000000" w:themeColor="text1"/>
        </w:rPr>
      </w:pPr>
      <w:r w:rsidRPr="00231180">
        <w:rPr>
          <w:b/>
          <w:smallCaps/>
          <w:color w:val="000000" w:themeColor="text1"/>
        </w:rPr>
        <w:t>Redacta la Jueza Villegas Herrera.</w:t>
      </w:r>
    </w:p>
    <w:p w14:paraId="31120B30" w14:textId="77777777" w:rsidR="002F5503" w:rsidRPr="00231180" w:rsidRDefault="002F5503" w:rsidP="00231180">
      <w:pPr>
        <w:spacing w:line="276" w:lineRule="auto"/>
        <w:jc w:val="center"/>
        <w:rPr>
          <w:b/>
          <w:color w:val="000000" w:themeColor="text1"/>
        </w:rPr>
      </w:pPr>
    </w:p>
    <w:p w14:paraId="761E916B" w14:textId="77777777" w:rsidR="00052A64" w:rsidRPr="00231180" w:rsidRDefault="00052A64" w:rsidP="00231180">
      <w:pPr>
        <w:spacing w:line="276" w:lineRule="auto"/>
        <w:jc w:val="center"/>
        <w:rPr>
          <w:b/>
          <w:color w:val="000000" w:themeColor="text1"/>
        </w:rPr>
      </w:pPr>
      <w:r w:rsidRPr="00231180">
        <w:rPr>
          <w:b/>
          <w:color w:val="000000" w:themeColor="text1"/>
        </w:rPr>
        <w:t xml:space="preserve">CONSIDERANDO </w:t>
      </w:r>
    </w:p>
    <w:p w14:paraId="0BF473D8" w14:textId="77777777" w:rsidR="00650DEA" w:rsidRPr="00231180" w:rsidRDefault="00650DEA" w:rsidP="00231180">
      <w:pPr>
        <w:spacing w:line="276" w:lineRule="auto"/>
        <w:jc w:val="center"/>
        <w:rPr>
          <w:b/>
          <w:color w:val="000000" w:themeColor="text1"/>
        </w:rPr>
      </w:pPr>
    </w:p>
    <w:p w14:paraId="3C0CD486" w14:textId="621077CB" w:rsidR="00650DEA" w:rsidRPr="00231180" w:rsidRDefault="00650DEA" w:rsidP="00231180">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31180">
        <w:rPr>
          <w:rStyle w:val="CharacterStyle6"/>
          <w:b/>
          <w:bCs/>
          <w:color w:val="000000" w:themeColor="text1"/>
          <w:sz w:val="24"/>
          <w:szCs w:val="24"/>
          <w:lang w:val="es-CR"/>
        </w:rPr>
        <w:t xml:space="preserve">1.- COMPETENCIA. - </w:t>
      </w:r>
      <w:r w:rsidRPr="00231180">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31180">
        <w:rPr>
          <w:rStyle w:val="CharacterStyle6"/>
          <w:color w:val="000000" w:themeColor="text1"/>
          <w:spacing w:val="1"/>
          <w:w w:val="105"/>
          <w:sz w:val="24"/>
          <w:szCs w:val="24"/>
          <w:lang w:val="es-CR"/>
        </w:rPr>
        <w:t xml:space="preserve">Ley Reguladora del Servicio Público de Transporte Remunerado de Personas en Vehículos </w:t>
      </w:r>
      <w:r w:rsidRPr="00231180">
        <w:rPr>
          <w:rStyle w:val="CharacterStyle6"/>
          <w:color w:val="000000" w:themeColor="text1"/>
          <w:spacing w:val="-1"/>
          <w:w w:val="105"/>
          <w:sz w:val="24"/>
          <w:szCs w:val="24"/>
          <w:lang w:val="es-CR"/>
        </w:rPr>
        <w:t>en la Modalidad de Taxi N</w:t>
      </w:r>
      <w:r w:rsidR="00F5657C" w:rsidRPr="00231180">
        <w:rPr>
          <w:rStyle w:val="CharacterStyle6"/>
          <w:color w:val="000000" w:themeColor="text1"/>
          <w:spacing w:val="-1"/>
          <w:w w:val="105"/>
          <w:sz w:val="24"/>
          <w:szCs w:val="24"/>
          <w:lang w:val="es-CR"/>
        </w:rPr>
        <w:t>o.</w:t>
      </w:r>
      <w:r w:rsidRPr="00231180">
        <w:rPr>
          <w:rStyle w:val="CharacterStyle6"/>
          <w:color w:val="000000" w:themeColor="text1"/>
          <w:spacing w:val="-1"/>
          <w:w w:val="105"/>
          <w:sz w:val="24"/>
          <w:szCs w:val="24"/>
          <w:lang w:val="es-CR"/>
        </w:rPr>
        <w:t xml:space="preserve"> 7969 del 22 de diciembre de 1999.</w:t>
      </w:r>
    </w:p>
    <w:p w14:paraId="5341F537" w14:textId="77777777" w:rsidR="00650DEA" w:rsidRPr="00231180" w:rsidRDefault="00650DEA" w:rsidP="00231180">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14:paraId="24692556" w14:textId="1609D52C" w:rsidR="00650DEA" w:rsidRPr="00231180" w:rsidRDefault="00650DEA" w:rsidP="00231180">
      <w:pPr>
        <w:pStyle w:val="Default"/>
        <w:spacing w:line="276" w:lineRule="auto"/>
        <w:ind w:right="397"/>
        <w:jc w:val="both"/>
        <w:rPr>
          <w:rFonts w:ascii="Times New Roman" w:hAnsi="Times New Roman" w:cs="Times New Roman"/>
          <w:smallCaps/>
          <w:color w:val="000000" w:themeColor="text1"/>
        </w:rPr>
      </w:pPr>
      <w:r w:rsidRPr="00231180">
        <w:rPr>
          <w:rStyle w:val="CharacterStyle6"/>
          <w:rFonts w:ascii="Times New Roman" w:hAnsi="Times New Roman" w:cs="Times New Roman"/>
          <w:b/>
          <w:bCs/>
          <w:color w:val="000000" w:themeColor="text1"/>
          <w:spacing w:val="-2"/>
          <w:sz w:val="24"/>
          <w:szCs w:val="24"/>
        </w:rPr>
        <w:t>2.-</w:t>
      </w:r>
      <w:r w:rsidRPr="00231180">
        <w:rPr>
          <w:rStyle w:val="CharacterStyle6"/>
          <w:rFonts w:ascii="Times New Roman" w:hAnsi="Times New Roman" w:cs="Times New Roman"/>
          <w:b/>
          <w:bCs/>
          <w:color w:val="000000" w:themeColor="text1"/>
          <w:spacing w:val="-2"/>
          <w:sz w:val="24"/>
          <w:szCs w:val="24"/>
        </w:rPr>
        <w:tab/>
        <w:t xml:space="preserve">ADMISIBILIDAD DEL RECURSO. </w:t>
      </w:r>
      <w:r w:rsidRPr="00231180">
        <w:rPr>
          <w:rFonts w:ascii="Times New Roman" w:hAnsi="Times New Roman" w:cs="Times New Roman"/>
          <w:b/>
          <w:color w:val="000000" w:themeColor="text1"/>
          <w:u w:val="single"/>
        </w:rPr>
        <w:t>En cuanto a la Legitimación</w:t>
      </w:r>
      <w:r w:rsidRPr="00231180">
        <w:rPr>
          <w:rFonts w:ascii="Times New Roman" w:hAnsi="Times New Roman" w:cs="Times New Roman"/>
          <w:b/>
          <w:color w:val="000000" w:themeColor="text1"/>
        </w:rPr>
        <w:t xml:space="preserve">: </w:t>
      </w:r>
      <w:r w:rsidRPr="00231180">
        <w:rPr>
          <w:rFonts w:ascii="Times New Roman" w:hAnsi="Times New Roman" w:cs="Times New Roman"/>
          <w:color w:val="000000" w:themeColor="text1"/>
        </w:rPr>
        <w:t xml:space="preserve">De conformidad con lo dispuesto en el artículo 11 de la ley 7969 “Ley Reguladora del </w:t>
      </w:r>
      <w:r w:rsidRPr="00231180">
        <w:rPr>
          <w:rFonts w:ascii="Times New Roman" w:hAnsi="Times New Roman" w:cs="Times New Roman"/>
          <w:color w:val="000000" w:themeColor="text1"/>
        </w:rPr>
        <w:lastRenderedPageBreak/>
        <w:t xml:space="preserve">Servicio Público de Transporte Remunerado de Personas en Vehículos en la Modalidad de Taxi”, se tiene que en el </w:t>
      </w:r>
      <w:r w:rsidR="004B1592" w:rsidRPr="00231180">
        <w:rPr>
          <w:rFonts w:ascii="Times New Roman" w:hAnsi="Times New Roman" w:cs="Times New Roman"/>
          <w:b/>
          <w:color w:val="000000" w:themeColor="text1"/>
        </w:rPr>
        <w:t xml:space="preserve">Artículo 3.2 de la Sesión Ordinaria 61-2021 </w:t>
      </w:r>
      <w:r w:rsidR="008D576D" w:rsidRPr="00231180">
        <w:rPr>
          <w:rFonts w:ascii="Times New Roman" w:hAnsi="Times New Roman" w:cs="Times New Roman"/>
          <w:b/>
          <w:color w:val="000000" w:themeColor="text1"/>
        </w:rPr>
        <w:t>de 12 de agosto de 2021</w:t>
      </w:r>
      <w:r w:rsidRPr="00231180">
        <w:rPr>
          <w:rFonts w:ascii="Times New Roman" w:hAnsi="Times New Roman" w:cs="Times New Roman"/>
          <w:color w:val="000000" w:themeColor="text1"/>
        </w:rPr>
        <w:t xml:space="preserve">, se </w:t>
      </w:r>
      <w:r w:rsidR="004B1592" w:rsidRPr="00231180">
        <w:rPr>
          <w:rFonts w:ascii="Times New Roman" w:hAnsi="Times New Roman" w:cs="Times New Roman"/>
          <w:color w:val="000000" w:themeColor="text1"/>
        </w:rPr>
        <w:t>autoriza la unificación de los códigos de las Rutas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xml:space="preserve"> y </w:t>
      </w:r>
      <w:r w:rsidR="00D0603C" w:rsidRPr="00231180">
        <w:rPr>
          <w:rFonts w:ascii="Times New Roman" w:hAnsi="Times New Roman" w:cs="Times New Roman"/>
          <w:color w:val="000000" w:themeColor="text1"/>
        </w:rPr>
        <w:t xml:space="preserve">No.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xml:space="preserve">, operadas por la empresa </w:t>
      </w:r>
      <w:r w:rsidR="00E638B5">
        <w:rPr>
          <w:rFonts w:ascii="Times New Roman" w:hAnsi="Times New Roman" w:cs="Times New Roman"/>
          <w:color w:val="000000" w:themeColor="text1"/>
        </w:rPr>
        <w:t>TPCQ</w:t>
      </w:r>
      <w:r w:rsidR="004B1592" w:rsidRPr="00231180">
        <w:rPr>
          <w:rFonts w:ascii="Times New Roman" w:hAnsi="Times New Roman" w:cs="Times New Roman"/>
          <w:color w:val="000000" w:themeColor="text1"/>
        </w:rPr>
        <w:t xml:space="preserve"> S.A., bajo el código único de Ruta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descrita como “</w:t>
      </w:r>
      <w:r w:rsidR="00806A4B">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w:t>
      </w:r>
      <w:r w:rsidR="00D0603C" w:rsidRPr="00231180">
        <w:rPr>
          <w:rFonts w:ascii="Times New Roman" w:hAnsi="Times New Roman" w:cs="Times New Roman"/>
          <w:color w:val="000000" w:themeColor="text1"/>
        </w:rPr>
        <w:t>; se</w:t>
      </w:r>
      <w:r w:rsidR="004B1592" w:rsidRPr="00231180">
        <w:rPr>
          <w:rFonts w:ascii="Times New Roman" w:hAnsi="Times New Roman" w:cs="Times New Roman"/>
          <w:color w:val="000000" w:themeColor="text1"/>
        </w:rPr>
        <w:t xml:space="preserve"> desactiva el código de la Ruta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operada por la misma empresa, y se unifica la flota de las Rutas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xml:space="preserve"> y </w:t>
      </w:r>
      <w:r w:rsidR="00D0603C" w:rsidRPr="00231180">
        <w:rPr>
          <w:rFonts w:ascii="Times New Roman" w:hAnsi="Times New Roman" w:cs="Times New Roman"/>
          <w:color w:val="000000" w:themeColor="text1"/>
        </w:rPr>
        <w:t xml:space="preserve">No.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bajo el código único de la Ruta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se aumenta en 5 unidades la flota óptima de la Ruta N</w:t>
      </w:r>
      <w:r w:rsidR="00D0603C" w:rsidRPr="00231180">
        <w:rPr>
          <w:rFonts w:ascii="Times New Roman" w:hAnsi="Times New Roman" w:cs="Times New Roman"/>
          <w:color w:val="000000" w:themeColor="text1"/>
        </w:rPr>
        <w:t>o.</w:t>
      </w:r>
      <w:r w:rsidR="004B1592" w:rsidRPr="00231180">
        <w:rPr>
          <w:rFonts w:ascii="Times New Roman" w:hAnsi="Times New Roman" w:cs="Times New Roman"/>
          <w:color w:val="000000" w:themeColor="text1"/>
        </w:rPr>
        <w:t xml:space="preserve"> </w:t>
      </w:r>
      <w:r w:rsidR="00E638B5">
        <w:rPr>
          <w:rFonts w:ascii="Times New Roman" w:hAnsi="Times New Roman" w:cs="Times New Roman"/>
          <w:color w:val="000000" w:themeColor="text1"/>
        </w:rPr>
        <w:t>000</w:t>
      </w:r>
      <w:r w:rsidR="004B1592" w:rsidRPr="00231180">
        <w:rPr>
          <w:rFonts w:ascii="Times New Roman" w:hAnsi="Times New Roman" w:cs="Times New Roman"/>
          <w:color w:val="000000" w:themeColor="text1"/>
        </w:rPr>
        <w:t xml:space="preserve">, bajo operación de la empresa </w:t>
      </w:r>
      <w:r w:rsidR="00E638B5">
        <w:rPr>
          <w:rFonts w:ascii="Times New Roman" w:hAnsi="Times New Roman" w:cs="Times New Roman"/>
          <w:b/>
          <w:bCs/>
          <w:color w:val="000000" w:themeColor="text1"/>
        </w:rPr>
        <w:t>TPCQ</w:t>
      </w:r>
      <w:r w:rsidR="004B1592" w:rsidRPr="00231180">
        <w:rPr>
          <w:rFonts w:ascii="Times New Roman" w:hAnsi="Times New Roman" w:cs="Times New Roman"/>
          <w:b/>
          <w:bCs/>
          <w:color w:val="000000" w:themeColor="text1"/>
        </w:rPr>
        <w:t xml:space="preserve"> S.A.</w:t>
      </w:r>
      <w:r w:rsidR="004B1592" w:rsidRPr="00231180">
        <w:rPr>
          <w:rFonts w:ascii="Times New Roman" w:hAnsi="Times New Roman" w:cs="Times New Roman"/>
          <w:color w:val="000000" w:themeColor="text1"/>
        </w:rPr>
        <w:t>, quedando finalmente con 19 unidades, por lo que la recurrente ostenta legitimación para impugnar el acto administrativo recurrido.</w:t>
      </w:r>
      <w:r w:rsidRPr="00231180">
        <w:rPr>
          <w:rFonts w:ascii="Times New Roman" w:hAnsi="Times New Roman" w:cs="Times New Roman"/>
          <w:color w:val="000000" w:themeColor="text1"/>
        </w:rPr>
        <w:t xml:space="preserve"> </w:t>
      </w:r>
      <w:r w:rsidRPr="00231180">
        <w:rPr>
          <w:rFonts w:ascii="Times New Roman" w:hAnsi="Times New Roman" w:cs="Times New Roman"/>
          <w:b/>
          <w:color w:val="000000" w:themeColor="text1"/>
          <w:u w:val="single"/>
        </w:rPr>
        <w:t>En cuanto al Plazo:</w:t>
      </w:r>
      <w:r w:rsidRPr="00231180">
        <w:rPr>
          <w:rFonts w:ascii="Times New Roman" w:hAnsi="Times New Roman" w:cs="Times New Roman"/>
          <w:color w:val="000000" w:themeColor="text1"/>
        </w:rPr>
        <w:t xml:space="preserve"> </w:t>
      </w:r>
      <w:r w:rsidRPr="00231180">
        <w:rPr>
          <w:rFonts w:ascii="Times New Roman" w:hAnsi="Times New Roman" w:cs="Times New Roman"/>
          <w:iCs/>
          <w:color w:val="000000" w:themeColor="text1"/>
        </w:rPr>
        <w:t xml:space="preserve">El acto administrativo </w:t>
      </w:r>
      <w:r w:rsidR="004B1592" w:rsidRPr="00231180">
        <w:rPr>
          <w:rFonts w:ascii="Times New Roman" w:hAnsi="Times New Roman" w:cs="Times New Roman"/>
          <w:iCs/>
          <w:color w:val="000000" w:themeColor="text1"/>
        </w:rPr>
        <w:t xml:space="preserve">contenido en el </w:t>
      </w:r>
      <w:r w:rsidR="004B1592" w:rsidRPr="00231180">
        <w:rPr>
          <w:rFonts w:ascii="Times New Roman" w:hAnsi="Times New Roman" w:cs="Times New Roman"/>
          <w:b/>
          <w:color w:val="000000" w:themeColor="text1"/>
        </w:rPr>
        <w:t xml:space="preserve">Artículo 3.2 de la Sesión Ordinaria 61-2021 </w:t>
      </w:r>
      <w:r w:rsidR="008D576D" w:rsidRPr="00231180">
        <w:rPr>
          <w:rFonts w:ascii="Times New Roman" w:hAnsi="Times New Roman" w:cs="Times New Roman"/>
          <w:b/>
          <w:color w:val="000000" w:themeColor="text1"/>
        </w:rPr>
        <w:t>de 12 de agosto de 2021</w:t>
      </w:r>
      <w:r w:rsidRPr="00231180">
        <w:rPr>
          <w:rFonts w:ascii="Times New Roman" w:hAnsi="Times New Roman" w:cs="Times New Roman"/>
          <w:color w:val="000000" w:themeColor="text1"/>
        </w:rPr>
        <w:t>, fue notificado el</w:t>
      </w:r>
      <w:r w:rsidRPr="00231180">
        <w:rPr>
          <w:rFonts w:ascii="Times New Roman" w:hAnsi="Times New Roman" w:cs="Times New Roman"/>
          <w:b/>
          <w:color w:val="000000" w:themeColor="text1"/>
        </w:rPr>
        <w:t xml:space="preserve"> </w:t>
      </w:r>
      <w:r w:rsidR="004B1592" w:rsidRPr="00231180">
        <w:rPr>
          <w:rFonts w:ascii="Times New Roman" w:hAnsi="Times New Roman" w:cs="Times New Roman"/>
          <w:b/>
          <w:color w:val="000000" w:themeColor="text1"/>
        </w:rPr>
        <w:t>16</w:t>
      </w:r>
      <w:r w:rsidRPr="00231180">
        <w:rPr>
          <w:rFonts w:ascii="Times New Roman" w:hAnsi="Times New Roman" w:cs="Times New Roman"/>
          <w:b/>
          <w:color w:val="000000" w:themeColor="text1"/>
        </w:rPr>
        <w:t xml:space="preserve"> de </w:t>
      </w:r>
      <w:r w:rsidR="004B1592" w:rsidRPr="00231180">
        <w:rPr>
          <w:rFonts w:ascii="Times New Roman" w:hAnsi="Times New Roman" w:cs="Times New Roman"/>
          <w:b/>
          <w:color w:val="000000" w:themeColor="text1"/>
        </w:rPr>
        <w:t xml:space="preserve">agosto </w:t>
      </w:r>
      <w:r w:rsidRPr="00231180">
        <w:rPr>
          <w:rFonts w:ascii="Times New Roman" w:hAnsi="Times New Roman" w:cs="Times New Roman"/>
          <w:b/>
          <w:color w:val="000000" w:themeColor="text1"/>
        </w:rPr>
        <w:t xml:space="preserve">de 2021 </w:t>
      </w:r>
      <w:r w:rsidRPr="00231180">
        <w:rPr>
          <w:rFonts w:ascii="Times New Roman" w:hAnsi="Times New Roman" w:cs="Times New Roman"/>
          <w:bCs/>
          <w:color w:val="000000" w:themeColor="text1"/>
        </w:rPr>
        <w:t>a</w:t>
      </w:r>
      <w:r w:rsidR="00C32A96" w:rsidRPr="00231180">
        <w:rPr>
          <w:rFonts w:ascii="Times New Roman" w:hAnsi="Times New Roman" w:cs="Times New Roman"/>
          <w:bCs/>
          <w:color w:val="000000" w:themeColor="text1"/>
        </w:rPr>
        <w:t xml:space="preserve"> </w:t>
      </w:r>
      <w:r w:rsidRPr="00231180">
        <w:rPr>
          <w:rFonts w:ascii="Times New Roman" w:hAnsi="Times New Roman" w:cs="Times New Roman"/>
          <w:bCs/>
          <w:color w:val="000000" w:themeColor="text1"/>
        </w:rPr>
        <w:t>l</w:t>
      </w:r>
      <w:r w:rsidR="00C32A96" w:rsidRPr="00231180">
        <w:rPr>
          <w:rFonts w:ascii="Times New Roman" w:hAnsi="Times New Roman" w:cs="Times New Roman"/>
          <w:bCs/>
          <w:color w:val="000000" w:themeColor="text1"/>
        </w:rPr>
        <w:t>os</w:t>
      </w:r>
      <w:r w:rsidRPr="00231180">
        <w:rPr>
          <w:rFonts w:ascii="Times New Roman" w:hAnsi="Times New Roman" w:cs="Times New Roman"/>
          <w:bCs/>
          <w:color w:val="000000" w:themeColor="text1"/>
        </w:rPr>
        <w:t xml:space="preserve"> </w:t>
      </w:r>
      <w:r w:rsidRPr="00231180">
        <w:rPr>
          <w:rFonts w:ascii="Times New Roman" w:hAnsi="Times New Roman" w:cs="Times New Roman"/>
          <w:color w:val="000000" w:themeColor="text1"/>
        </w:rPr>
        <w:t>correo</w:t>
      </w:r>
      <w:r w:rsidR="00C32A96" w:rsidRPr="00231180">
        <w:rPr>
          <w:rFonts w:ascii="Times New Roman" w:hAnsi="Times New Roman" w:cs="Times New Roman"/>
          <w:color w:val="000000" w:themeColor="text1"/>
        </w:rPr>
        <w:t>s</w:t>
      </w:r>
      <w:r w:rsidRPr="00231180">
        <w:rPr>
          <w:rFonts w:ascii="Times New Roman" w:hAnsi="Times New Roman" w:cs="Times New Roman"/>
          <w:color w:val="000000" w:themeColor="text1"/>
        </w:rPr>
        <w:t xml:space="preserve"> </w:t>
      </w:r>
      <w:hyperlink r:id="rId13" w:history="1">
        <w:r w:rsidR="00E638B5">
          <w:rPr>
            <w:rStyle w:val="Hipervnculo"/>
            <w:rFonts w:ascii="Times New Roman" w:hAnsi="Times New Roman" w:cs="Times New Roman"/>
            <w:color w:val="000000" w:themeColor="text1"/>
          </w:rPr>
          <w:t>000</w:t>
        </w:r>
        <w:r w:rsidR="00C32A96" w:rsidRPr="00231180">
          <w:rPr>
            <w:rStyle w:val="Hipervnculo"/>
            <w:rFonts w:ascii="Times New Roman" w:hAnsi="Times New Roman" w:cs="Times New Roman"/>
            <w:color w:val="000000" w:themeColor="text1"/>
          </w:rPr>
          <w:t>@yahoo.com</w:t>
        </w:r>
      </w:hyperlink>
      <w:r w:rsidR="00C32A96" w:rsidRPr="00231180">
        <w:rPr>
          <w:rFonts w:ascii="Times New Roman" w:hAnsi="Times New Roman" w:cs="Times New Roman"/>
          <w:color w:val="000000" w:themeColor="text1"/>
        </w:rPr>
        <w:t xml:space="preserve"> y </w:t>
      </w:r>
      <w:r w:rsidR="00E638B5">
        <w:rPr>
          <w:rFonts w:ascii="Times New Roman" w:hAnsi="Times New Roman" w:cs="Times New Roman"/>
          <w:color w:val="000000" w:themeColor="text1"/>
          <w:u w:val="single"/>
        </w:rPr>
        <w:t>000</w:t>
      </w:r>
      <w:hyperlink r:id="rId14" w:history="1">
        <w:r w:rsidR="00C32A96" w:rsidRPr="00231180">
          <w:rPr>
            <w:rStyle w:val="Hipervnculo"/>
            <w:rFonts w:ascii="Times New Roman" w:hAnsi="Times New Roman" w:cs="Times New Roman"/>
            <w:color w:val="000000" w:themeColor="text1"/>
          </w:rPr>
          <w:t>sa@hotmail.com</w:t>
        </w:r>
      </w:hyperlink>
      <w:r w:rsidRPr="00231180">
        <w:rPr>
          <w:rFonts w:ascii="Times New Roman" w:hAnsi="Times New Roman" w:cs="Times New Roman"/>
          <w:color w:val="000000" w:themeColor="text1"/>
        </w:rPr>
        <w:t>, -</w:t>
      </w:r>
      <w:r w:rsidRPr="00231180">
        <w:rPr>
          <w:rFonts w:ascii="Times New Roman" w:hAnsi="Times New Roman" w:cs="Times New Roman"/>
          <w:i/>
          <w:color w:val="000000" w:themeColor="text1"/>
        </w:rPr>
        <w:t>l</w:t>
      </w:r>
      <w:r w:rsidRPr="00231180">
        <w:rPr>
          <w:rFonts w:ascii="Times New Roman" w:hAnsi="Times New Roman" w:cs="Times New Roman"/>
          <w:i/>
          <w:color w:val="000000" w:themeColor="text1"/>
          <w:spacing w:val="-3"/>
        </w:rPr>
        <w:t xml:space="preserve">éase el folio </w:t>
      </w:r>
      <w:r w:rsidR="00C32A96" w:rsidRPr="00231180">
        <w:rPr>
          <w:rFonts w:ascii="Times New Roman" w:hAnsi="Times New Roman" w:cs="Times New Roman"/>
          <w:i/>
          <w:color w:val="000000" w:themeColor="text1"/>
          <w:spacing w:val="-3"/>
        </w:rPr>
        <w:t>34</w:t>
      </w:r>
      <w:r w:rsidRPr="00231180">
        <w:rPr>
          <w:rFonts w:ascii="Times New Roman" w:hAnsi="Times New Roman" w:cs="Times New Roman"/>
          <w:i/>
          <w:color w:val="000000" w:themeColor="text1"/>
          <w:spacing w:val="-3"/>
        </w:rPr>
        <w:t xml:space="preserve"> del expediente </w:t>
      </w:r>
      <w:r w:rsidR="00C32A96" w:rsidRPr="00231180">
        <w:rPr>
          <w:rFonts w:ascii="Times New Roman" w:hAnsi="Times New Roman" w:cs="Times New Roman"/>
          <w:i/>
          <w:color w:val="000000" w:themeColor="text1"/>
          <w:spacing w:val="-3"/>
        </w:rPr>
        <w:t>TAT-068-22</w:t>
      </w:r>
      <w:r w:rsidRPr="00231180">
        <w:rPr>
          <w:rFonts w:ascii="Times New Roman" w:hAnsi="Times New Roman" w:cs="Times New Roman"/>
          <w:color w:val="000000" w:themeColor="text1"/>
          <w:spacing w:val="-3"/>
        </w:rPr>
        <w:t>-</w:t>
      </w:r>
      <w:r w:rsidRPr="00231180">
        <w:rPr>
          <w:rFonts w:ascii="Times New Roman" w:hAnsi="Times New Roman" w:cs="Times New Roman"/>
          <w:color w:val="000000" w:themeColor="text1"/>
        </w:rPr>
        <w:t xml:space="preserve"> y sus acciones recursivas fueron presentadas el</w:t>
      </w:r>
      <w:r w:rsidR="00576668" w:rsidRPr="00231180">
        <w:rPr>
          <w:rFonts w:ascii="Times New Roman" w:hAnsi="Times New Roman" w:cs="Times New Roman"/>
          <w:b/>
          <w:color w:val="000000" w:themeColor="text1"/>
        </w:rPr>
        <w:t xml:space="preserve"> 23 de agosto de 2021</w:t>
      </w:r>
      <w:r w:rsidRPr="00231180">
        <w:rPr>
          <w:rFonts w:ascii="Times New Roman" w:hAnsi="Times New Roman" w:cs="Times New Roman"/>
          <w:color w:val="000000" w:themeColor="text1"/>
        </w:rPr>
        <w:t xml:space="preserve">, </w:t>
      </w:r>
      <w:r w:rsidRPr="00231180">
        <w:rPr>
          <w:rFonts w:ascii="Times New Roman" w:hAnsi="Times New Roman" w:cs="Times New Roman"/>
          <w:iCs/>
          <w:color w:val="000000" w:themeColor="text1"/>
        </w:rPr>
        <w:t>con lo cual se tiene que el recurso se presenta dentro del plazo de ley.</w:t>
      </w:r>
    </w:p>
    <w:p w14:paraId="70CA0C5C" w14:textId="77777777" w:rsidR="00650DEA" w:rsidRPr="00231180" w:rsidRDefault="00650DEA" w:rsidP="00231180">
      <w:pPr>
        <w:pStyle w:val="Sinespaciado"/>
        <w:spacing w:line="276" w:lineRule="auto"/>
        <w:rPr>
          <w:rFonts w:ascii="Times New Roman" w:hAnsi="Times New Roman"/>
          <w:color w:val="000000" w:themeColor="text1"/>
          <w:sz w:val="24"/>
          <w:szCs w:val="24"/>
        </w:rPr>
      </w:pPr>
    </w:p>
    <w:p w14:paraId="12492780" w14:textId="77777777" w:rsidR="00650DEA" w:rsidRPr="00231180" w:rsidRDefault="00650DEA" w:rsidP="00231180">
      <w:pPr>
        <w:pStyle w:val="Style9"/>
        <w:numPr>
          <w:ilvl w:val="0"/>
          <w:numId w:val="9"/>
        </w:numPr>
        <w:tabs>
          <w:tab w:val="left" w:pos="426"/>
        </w:tabs>
        <w:kinsoku w:val="0"/>
        <w:autoSpaceDE/>
        <w:autoSpaceDN/>
        <w:spacing w:before="0" w:line="276" w:lineRule="auto"/>
        <w:ind w:left="0" w:right="0" w:firstLine="0"/>
        <w:rPr>
          <w:rFonts w:eastAsia="Times New Roman"/>
          <w:color w:val="000000" w:themeColor="text1"/>
          <w:sz w:val="24"/>
          <w:szCs w:val="24"/>
          <w:lang w:val="es-CR" w:eastAsia="es-ES"/>
        </w:rPr>
      </w:pPr>
      <w:r w:rsidRPr="00231180">
        <w:rPr>
          <w:b/>
          <w:iCs/>
          <w:color w:val="000000" w:themeColor="text1"/>
          <w:sz w:val="24"/>
          <w:szCs w:val="24"/>
          <w:lang w:val="es-CR"/>
        </w:rPr>
        <w:t>HECHOS PROBADOS.</w:t>
      </w:r>
      <w:r w:rsidRPr="00231180">
        <w:rPr>
          <w:iCs/>
          <w:color w:val="000000" w:themeColor="text1"/>
          <w:sz w:val="24"/>
          <w:szCs w:val="24"/>
          <w:lang w:val="es-CR"/>
        </w:rPr>
        <w:t xml:space="preserve"> De importancia para la decisión de este asunto, se estiman como debidamente demostrados los siguientes hechos: </w:t>
      </w:r>
    </w:p>
    <w:p w14:paraId="1B7D1991" w14:textId="77777777" w:rsidR="00650DEA" w:rsidRPr="00961540" w:rsidRDefault="00650DEA" w:rsidP="00961540">
      <w:pPr>
        <w:pStyle w:val="Style9"/>
        <w:tabs>
          <w:tab w:val="left" w:pos="426"/>
        </w:tabs>
        <w:kinsoku w:val="0"/>
        <w:autoSpaceDE/>
        <w:autoSpaceDN/>
        <w:spacing w:before="0" w:line="276" w:lineRule="auto"/>
        <w:ind w:right="0"/>
        <w:rPr>
          <w:rFonts w:eastAsia="Times New Roman"/>
          <w:color w:val="44546A" w:themeColor="text2"/>
          <w:sz w:val="24"/>
          <w:szCs w:val="24"/>
          <w:lang w:val="es-CR" w:eastAsia="es-ES"/>
        </w:rPr>
      </w:pPr>
    </w:p>
    <w:p w14:paraId="0754148B" w14:textId="4A92F897" w:rsidR="00295086" w:rsidRPr="00295086" w:rsidRDefault="00954028" w:rsidP="00295086">
      <w:pPr>
        <w:pStyle w:val="Prrafodelista"/>
        <w:numPr>
          <w:ilvl w:val="0"/>
          <w:numId w:val="10"/>
        </w:numPr>
        <w:ind w:left="680" w:hanging="340"/>
        <w:contextualSpacing w:val="0"/>
        <w:jc w:val="both"/>
      </w:pPr>
      <w:r w:rsidRPr="00954028">
        <w:rPr>
          <w:sz w:val="22"/>
        </w:rPr>
        <w:t xml:space="preserve">La Junta Directiva del Consejo de Transporte Público mediante </w:t>
      </w:r>
      <w:r w:rsidRPr="00954028">
        <w:rPr>
          <w:b/>
          <w:bCs/>
          <w:sz w:val="22"/>
        </w:rPr>
        <w:t xml:space="preserve">Artículo 3.2 de la Sesión Ordinaria 61-2021 de 12 de agosto de 2021, </w:t>
      </w:r>
      <w:r w:rsidRPr="00954028">
        <w:rPr>
          <w:sz w:val="22"/>
        </w:rPr>
        <w:t>dispuso aprobar las recomendaciones contenidas en el oficio</w:t>
      </w:r>
      <w:r>
        <w:rPr>
          <w:sz w:val="22"/>
        </w:rPr>
        <w:t xml:space="preserve">  </w:t>
      </w:r>
      <w:r w:rsidRPr="00954028">
        <w:rPr>
          <w:sz w:val="22"/>
        </w:rPr>
        <w:t xml:space="preserve"> </w:t>
      </w:r>
      <w:r w:rsidRPr="00954028">
        <w:rPr>
          <w:b/>
          <w:bCs/>
          <w:sz w:val="22"/>
        </w:rPr>
        <w:t>CTP-DT-DING-1NF-0235-2021 del 06 de agosto del 2021 y dispuso entre otros puntos</w:t>
      </w:r>
      <w:r w:rsidRPr="00954028">
        <w:rPr>
          <w:sz w:val="22"/>
        </w:rPr>
        <w:t xml:space="preserve"> Unificar la flota de las Rutas N</w:t>
      </w:r>
      <w:r>
        <w:rPr>
          <w:sz w:val="22"/>
          <w:vertAlign w:val="superscript"/>
        </w:rPr>
        <w:t>°</w:t>
      </w:r>
      <w:r w:rsidRPr="00954028">
        <w:rPr>
          <w:sz w:val="22"/>
          <w:vertAlign w:val="superscript"/>
        </w:rPr>
        <w:t xml:space="preserve"> </w:t>
      </w:r>
      <w:r w:rsidR="00E638B5">
        <w:rPr>
          <w:sz w:val="22"/>
        </w:rPr>
        <w:t>000</w:t>
      </w:r>
      <w:r w:rsidRPr="00954028">
        <w:rPr>
          <w:sz w:val="22"/>
        </w:rPr>
        <w:t xml:space="preserve"> y </w:t>
      </w:r>
      <w:r w:rsidR="00E638B5">
        <w:rPr>
          <w:sz w:val="22"/>
        </w:rPr>
        <w:t>000</w:t>
      </w:r>
      <w:r w:rsidRPr="00954028">
        <w:rPr>
          <w:sz w:val="22"/>
        </w:rPr>
        <w:t>, ahora bajo el código único de la Ruta N</w:t>
      </w:r>
      <w:r>
        <w:rPr>
          <w:sz w:val="22"/>
          <w:vertAlign w:val="superscript"/>
        </w:rPr>
        <w:t xml:space="preserve">° </w:t>
      </w:r>
      <w:r w:rsidR="00E638B5">
        <w:rPr>
          <w:sz w:val="22"/>
        </w:rPr>
        <w:t>000</w:t>
      </w:r>
      <w:r w:rsidRPr="00954028">
        <w:rPr>
          <w:sz w:val="22"/>
        </w:rPr>
        <w:t>, y aumentar en 5 unidades la flota óptima de la Ruta N</w:t>
      </w:r>
      <w:r>
        <w:rPr>
          <w:sz w:val="22"/>
          <w:vertAlign w:val="superscript"/>
        </w:rPr>
        <w:t>°</w:t>
      </w:r>
      <w:r w:rsidRPr="00954028">
        <w:rPr>
          <w:sz w:val="22"/>
          <w:vertAlign w:val="superscript"/>
        </w:rPr>
        <w:t xml:space="preserve"> </w:t>
      </w:r>
      <w:r w:rsidR="00E638B5">
        <w:rPr>
          <w:sz w:val="22"/>
        </w:rPr>
        <w:t>000</w:t>
      </w:r>
      <w:r w:rsidRPr="00954028">
        <w:rPr>
          <w:sz w:val="22"/>
        </w:rPr>
        <w:t xml:space="preserve">, bajo operación de la empresa </w:t>
      </w:r>
      <w:r w:rsidR="00E638B5">
        <w:rPr>
          <w:b/>
          <w:bCs/>
          <w:sz w:val="22"/>
        </w:rPr>
        <w:t>TPCQ</w:t>
      </w:r>
      <w:r w:rsidRPr="00954028">
        <w:rPr>
          <w:b/>
          <w:bCs/>
          <w:sz w:val="22"/>
        </w:rPr>
        <w:t xml:space="preserve"> S</w:t>
      </w:r>
      <w:r>
        <w:rPr>
          <w:b/>
          <w:bCs/>
          <w:sz w:val="22"/>
        </w:rPr>
        <w:t>.</w:t>
      </w:r>
      <w:r w:rsidRPr="00954028">
        <w:rPr>
          <w:b/>
          <w:bCs/>
          <w:sz w:val="22"/>
        </w:rPr>
        <w:t>A</w:t>
      </w:r>
      <w:r>
        <w:rPr>
          <w:b/>
          <w:bCs/>
          <w:sz w:val="22"/>
        </w:rPr>
        <w:t>.</w:t>
      </w:r>
      <w:r w:rsidRPr="00954028">
        <w:rPr>
          <w:sz w:val="22"/>
        </w:rPr>
        <w:t xml:space="preserve">, quedando finalmente con 19 unidades, lo anterior, conforme el informe presentado por la empresa </w:t>
      </w:r>
      <w:r w:rsidR="00E638B5">
        <w:rPr>
          <w:sz w:val="22"/>
        </w:rPr>
        <w:t>I</w:t>
      </w:r>
      <w:r w:rsidRPr="00954028">
        <w:rPr>
          <w:sz w:val="22"/>
        </w:rPr>
        <w:t>, organismo de inspección acreditado ante el ECA. (Léanse los folios 20 vuelto al 33 del expediente TAT-068-22)</w:t>
      </w:r>
    </w:p>
    <w:p w14:paraId="2DE77B83" w14:textId="77777777" w:rsidR="00295086" w:rsidRPr="00295086" w:rsidRDefault="00295086" w:rsidP="00295086">
      <w:pPr>
        <w:pStyle w:val="Prrafodelista"/>
        <w:ind w:left="680"/>
        <w:contextualSpacing w:val="0"/>
        <w:jc w:val="both"/>
      </w:pPr>
    </w:p>
    <w:p w14:paraId="15A03759" w14:textId="61087F95" w:rsidR="00295086" w:rsidRPr="00295086" w:rsidRDefault="00295086" w:rsidP="00295086">
      <w:pPr>
        <w:pStyle w:val="Prrafodelista"/>
        <w:numPr>
          <w:ilvl w:val="0"/>
          <w:numId w:val="10"/>
        </w:numPr>
        <w:ind w:left="680" w:hanging="340"/>
        <w:contextualSpacing w:val="0"/>
        <w:jc w:val="both"/>
      </w:pPr>
      <w:r w:rsidRPr="00295086">
        <w:rPr>
          <w:color w:val="000000" w:themeColor="text1"/>
          <w:sz w:val="22"/>
          <w:szCs w:val="22"/>
          <w:lang w:val="es-CR"/>
        </w:rPr>
        <w:t xml:space="preserve">La empresa </w:t>
      </w:r>
      <w:r w:rsidR="00E638B5">
        <w:rPr>
          <w:b/>
          <w:bCs/>
          <w:color w:val="000000" w:themeColor="text1"/>
          <w:sz w:val="22"/>
          <w:szCs w:val="22"/>
          <w:lang w:val="es-CR"/>
        </w:rPr>
        <w:t>TPCQ</w:t>
      </w:r>
      <w:r w:rsidRPr="00295086">
        <w:rPr>
          <w:b/>
          <w:bCs/>
          <w:color w:val="000000" w:themeColor="text1"/>
          <w:sz w:val="22"/>
          <w:szCs w:val="22"/>
          <w:lang w:val="es-CR"/>
        </w:rPr>
        <w:t xml:space="preserve"> S.A.,</w:t>
      </w:r>
      <w:r w:rsidRPr="00295086">
        <w:rPr>
          <w:color w:val="000000" w:themeColor="text1"/>
          <w:sz w:val="22"/>
          <w:szCs w:val="22"/>
          <w:lang w:val="es-CR"/>
        </w:rPr>
        <w:t xml:space="preserve"> presenta Recurso de Revocatoria con Apelación en subsidio, el 23 de agosto de 2021, indicando su disconformidad parcial con el Informe del Departamento de Ingeniería en cuanto a la cantidad de unidades autorizada para brindar el servicio. (Léanse folios del 13 al 17 del expediente TAT-068-22)</w:t>
      </w:r>
    </w:p>
    <w:p w14:paraId="3E780EB3" w14:textId="77777777" w:rsidR="00295086" w:rsidRPr="00295086" w:rsidRDefault="00295086" w:rsidP="00295086">
      <w:pPr>
        <w:pStyle w:val="Prrafodelista"/>
        <w:rPr>
          <w:sz w:val="22"/>
          <w:szCs w:val="22"/>
        </w:rPr>
      </w:pPr>
    </w:p>
    <w:p w14:paraId="2630A296" w14:textId="2635249B" w:rsidR="00295086" w:rsidRPr="00295086" w:rsidRDefault="00295086" w:rsidP="00295086">
      <w:pPr>
        <w:pStyle w:val="Prrafodelista"/>
        <w:numPr>
          <w:ilvl w:val="0"/>
          <w:numId w:val="10"/>
        </w:numPr>
        <w:ind w:left="680" w:hanging="340"/>
        <w:contextualSpacing w:val="0"/>
        <w:jc w:val="both"/>
      </w:pPr>
      <w:r w:rsidRPr="00295086">
        <w:rPr>
          <w:sz w:val="22"/>
          <w:szCs w:val="22"/>
        </w:rPr>
        <w:t xml:space="preserve">La Junta Directiva del Consejo de Transporte Público mediante </w:t>
      </w:r>
      <w:r w:rsidRPr="00295086">
        <w:rPr>
          <w:b/>
          <w:bCs/>
          <w:sz w:val="22"/>
          <w:szCs w:val="22"/>
        </w:rPr>
        <w:t>Artículo 7.5 de la Sesión Ordinaria 94-2021 del 7 de diciembre de 2021</w:t>
      </w:r>
      <w:r w:rsidRPr="00295086">
        <w:rPr>
          <w:sz w:val="22"/>
          <w:szCs w:val="22"/>
        </w:rPr>
        <w:t>, conoce el Informe No. CTP-AJ-OF</w:t>
      </w:r>
      <w:r>
        <w:rPr>
          <w:sz w:val="22"/>
          <w:szCs w:val="22"/>
        </w:rPr>
        <w:t>-</w:t>
      </w:r>
      <w:r w:rsidRPr="00295086">
        <w:rPr>
          <w:sz w:val="22"/>
          <w:szCs w:val="22"/>
        </w:rPr>
        <w:t>2021-1372 del 24 de noviembre de 2021 y acuerda rechazar el Recurso de Revocatoria planteado y elevar a este Tribunal la Apelación. (Léase el folio 2 del expediente TAT</w:t>
      </w:r>
      <w:r>
        <w:rPr>
          <w:sz w:val="22"/>
          <w:szCs w:val="22"/>
        </w:rPr>
        <w:t>-</w:t>
      </w:r>
      <w:r w:rsidRPr="00295086">
        <w:rPr>
          <w:sz w:val="22"/>
          <w:szCs w:val="22"/>
        </w:rPr>
        <w:t>068-22</w:t>
      </w:r>
      <w:r>
        <w:rPr>
          <w:sz w:val="22"/>
          <w:szCs w:val="22"/>
        </w:rPr>
        <w:t>)</w:t>
      </w:r>
    </w:p>
    <w:p w14:paraId="32DA2EB5" w14:textId="77777777" w:rsidR="00295086" w:rsidRPr="00295086" w:rsidRDefault="00295086" w:rsidP="00295086">
      <w:pPr>
        <w:pStyle w:val="Prrafodelista"/>
        <w:rPr>
          <w:sz w:val="22"/>
          <w:szCs w:val="22"/>
        </w:rPr>
      </w:pPr>
    </w:p>
    <w:p w14:paraId="668B2427" w14:textId="2D3C4CCF" w:rsidR="00295086" w:rsidRDefault="00295086" w:rsidP="00295086">
      <w:pPr>
        <w:pStyle w:val="Prrafodelista"/>
        <w:numPr>
          <w:ilvl w:val="0"/>
          <w:numId w:val="10"/>
        </w:numPr>
        <w:ind w:left="680" w:hanging="340"/>
        <w:contextualSpacing w:val="0"/>
        <w:jc w:val="both"/>
      </w:pPr>
      <w:r w:rsidRPr="00295086">
        <w:rPr>
          <w:sz w:val="22"/>
          <w:szCs w:val="22"/>
        </w:rPr>
        <w:t>Que consta en el expediente administrativo Informe Técnico Actualización de Variables</w:t>
      </w:r>
      <w:r w:rsidRPr="00295086">
        <w:t xml:space="preserve"> </w:t>
      </w:r>
      <w:r w:rsidRPr="00295086">
        <w:rPr>
          <w:sz w:val="22"/>
          <w:szCs w:val="22"/>
        </w:rPr>
        <w:t>Ruta N</w:t>
      </w:r>
      <w:r>
        <w:rPr>
          <w:sz w:val="22"/>
          <w:szCs w:val="22"/>
        </w:rPr>
        <w:t>°</w:t>
      </w:r>
      <w:r w:rsidRPr="00295086">
        <w:rPr>
          <w:sz w:val="22"/>
          <w:szCs w:val="22"/>
        </w:rPr>
        <w:t xml:space="preserve"> </w:t>
      </w:r>
      <w:r w:rsidR="00E638B5">
        <w:rPr>
          <w:sz w:val="22"/>
          <w:szCs w:val="22"/>
        </w:rPr>
        <w:t>000</w:t>
      </w:r>
      <w:r w:rsidRPr="00295086">
        <w:rPr>
          <w:sz w:val="22"/>
          <w:szCs w:val="22"/>
        </w:rPr>
        <w:t>-</w:t>
      </w:r>
      <w:r w:rsidR="00E638B5">
        <w:rPr>
          <w:sz w:val="22"/>
          <w:szCs w:val="22"/>
        </w:rPr>
        <w:t>000</w:t>
      </w:r>
      <w:r w:rsidRPr="00295086">
        <w:rPr>
          <w:sz w:val="22"/>
          <w:szCs w:val="22"/>
        </w:rPr>
        <w:t xml:space="preserve"> </w:t>
      </w:r>
      <w:r w:rsidR="00E638B5">
        <w:rPr>
          <w:sz w:val="22"/>
          <w:szCs w:val="22"/>
        </w:rPr>
        <w:t>TPCQ</w:t>
      </w:r>
      <w:r w:rsidRPr="00295086">
        <w:rPr>
          <w:sz w:val="22"/>
          <w:szCs w:val="22"/>
        </w:rPr>
        <w:t xml:space="preserve"> S.A., suscrito por el MSc. </w:t>
      </w:r>
      <w:r w:rsidR="00E638B5">
        <w:rPr>
          <w:sz w:val="22"/>
          <w:szCs w:val="22"/>
        </w:rPr>
        <w:t>VSR</w:t>
      </w:r>
      <w:r w:rsidRPr="00295086">
        <w:rPr>
          <w:sz w:val="22"/>
          <w:szCs w:val="22"/>
        </w:rPr>
        <w:t xml:space="preserve">, con fecha 24 de marzo del 2021, en el que certifica que la Dirección Profesional del Estudio de Tiempos, Cantidad De Servicios/ Carreras (Frecuencias De Viaje) del Informe Técnico Para La Actualización De Variables De La Ruta No. </w:t>
      </w:r>
      <w:r w:rsidR="00E638B5">
        <w:rPr>
          <w:sz w:val="22"/>
          <w:szCs w:val="22"/>
        </w:rPr>
        <w:t>000</w:t>
      </w:r>
      <w:r w:rsidRPr="00295086">
        <w:rPr>
          <w:sz w:val="22"/>
          <w:szCs w:val="22"/>
        </w:rPr>
        <w:t>-</w:t>
      </w:r>
      <w:r w:rsidR="00E638B5">
        <w:rPr>
          <w:sz w:val="22"/>
          <w:szCs w:val="22"/>
        </w:rPr>
        <w:t>000</w:t>
      </w:r>
      <w:r w:rsidRPr="00295086">
        <w:rPr>
          <w:sz w:val="22"/>
          <w:szCs w:val="22"/>
        </w:rPr>
        <w:t xml:space="preserve">   </w:t>
      </w:r>
      <w:r w:rsidR="00E638B5">
        <w:rPr>
          <w:sz w:val="22"/>
          <w:szCs w:val="22"/>
        </w:rPr>
        <w:t>TPCQ</w:t>
      </w:r>
      <w:r w:rsidRPr="00295086">
        <w:rPr>
          <w:sz w:val="22"/>
          <w:szCs w:val="22"/>
        </w:rPr>
        <w:t xml:space="preserve"> S.A., se realizó bajo su supervisión y dirección. (Léanse los folios del 68 al 99 del expediente TAT-068-22).</w:t>
      </w:r>
    </w:p>
    <w:p w14:paraId="02F6E388" w14:textId="77777777" w:rsidR="00295086" w:rsidRPr="00295086" w:rsidRDefault="00295086" w:rsidP="00295086">
      <w:pPr>
        <w:pStyle w:val="Prrafodelista"/>
        <w:rPr>
          <w:color w:val="000000" w:themeColor="text1"/>
          <w:sz w:val="22"/>
          <w:szCs w:val="22"/>
          <w:lang w:val="es-CR"/>
        </w:rPr>
      </w:pPr>
    </w:p>
    <w:p w14:paraId="323A6BC8" w14:textId="08F470C8" w:rsidR="00B54C3D" w:rsidRPr="00295086" w:rsidRDefault="008A6F12" w:rsidP="00295086">
      <w:pPr>
        <w:pStyle w:val="Prrafodelista"/>
        <w:numPr>
          <w:ilvl w:val="0"/>
          <w:numId w:val="10"/>
        </w:numPr>
        <w:ind w:left="680" w:hanging="340"/>
        <w:contextualSpacing w:val="0"/>
        <w:jc w:val="both"/>
      </w:pPr>
      <w:r w:rsidRPr="00295086">
        <w:rPr>
          <w:color w:val="000000" w:themeColor="text1"/>
          <w:sz w:val="22"/>
          <w:szCs w:val="22"/>
          <w:lang w:val="es-CR"/>
        </w:rPr>
        <w:t xml:space="preserve">El </w:t>
      </w:r>
      <w:r w:rsidR="00295086" w:rsidRPr="00295086">
        <w:rPr>
          <w:b/>
          <w:bCs/>
          <w:color w:val="000000" w:themeColor="text1"/>
          <w:sz w:val="22"/>
          <w:szCs w:val="22"/>
          <w:lang w:val="es-CR"/>
        </w:rPr>
        <w:t>6</w:t>
      </w:r>
      <w:r w:rsidRPr="00295086">
        <w:rPr>
          <w:b/>
          <w:bCs/>
          <w:color w:val="000000" w:themeColor="text1"/>
          <w:sz w:val="22"/>
          <w:szCs w:val="22"/>
          <w:lang w:val="es-CR"/>
        </w:rPr>
        <w:t xml:space="preserve"> de </w:t>
      </w:r>
      <w:r w:rsidR="00295086" w:rsidRPr="00295086">
        <w:rPr>
          <w:b/>
          <w:bCs/>
          <w:color w:val="000000" w:themeColor="text1"/>
          <w:sz w:val="22"/>
          <w:szCs w:val="22"/>
          <w:lang w:val="es-CR"/>
        </w:rPr>
        <w:t xml:space="preserve">agosto </w:t>
      </w:r>
      <w:r w:rsidRPr="00295086">
        <w:rPr>
          <w:b/>
          <w:bCs/>
          <w:color w:val="000000" w:themeColor="text1"/>
          <w:sz w:val="22"/>
          <w:szCs w:val="22"/>
          <w:lang w:val="es-CR"/>
        </w:rPr>
        <w:t>de 2021</w:t>
      </w:r>
      <w:r w:rsidRPr="00295086">
        <w:rPr>
          <w:color w:val="000000" w:themeColor="text1"/>
          <w:sz w:val="22"/>
          <w:szCs w:val="22"/>
          <w:lang w:val="es-CR"/>
        </w:rPr>
        <w:t xml:space="preserve">, </w:t>
      </w:r>
      <w:r w:rsidR="00C303E9" w:rsidRPr="00295086">
        <w:rPr>
          <w:color w:val="000000" w:themeColor="text1"/>
          <w:sz w:val="22"/>
          <w:szCs w:val="22"/>
          <w:lang w:val="es-CR"/>
        </w:rPr>
        <w:t>e</w:t>
      </w:r>
      <w:r w:rsidR="002E5B0F" w:rsidRPr="00295086">
        <w:rPr>
          <w:color w:val="000000" w:themeColor="text1"/>
          <w:sz w:val="22"/>
          <w:szCs w:val="22"/>
          <w:lang w:val="es-CR"/>
        </w:rPr>
        <w:t xml:space="preserve">l Departamento de Ingeniería de la Dirección Técnica del Consejo de Transporte Público, emite </w:t>
      </w:r>
      <w:r w:rsidR="006A1203" w:rsidRPr="00295086">
        <w:rPr>
          <w:color w:val="000000" w:themeColor="text1"/>
          <w:sz w:val="22"/>
          <w:szCs w:val="22"/>
          <w:lang w:val="es-CR"/>
        </w:rPr>
        <w:t xml:space="preserve">el informe </w:t>
      </w:r>
      <w:r w:rsidR="002E5B0F" w:rsidRPr="00295086">
        <w:rPr>
          <w:color w:val="000000" w:themeColor="text1"/>
          <w:sz w:val="22"/>
          <w:szCs w:val="22"/>
          <w:lang w:val="es-CR"/>
        </w:rPr>
        <w:t>técnico para refrendo, Rutas N°</w:t>
      </w:r>
      <w:r w:rsidR="00E638B5">
        <w:rPr>
          <w:color w:val="000000" w:themeColor="text1"/>
          <w:sz w:val="22"/>
          <w:szCs w:val="22"/>
          <w:lang w:val="es-CR"/>
        </w:rPr>
        <w:t>000</w:t>
      </w:r>
      <w:r w:rsidR="002E5B0F" w:rsidRPr="00295086">
        <w:rPr>
          <w:color w:val="000000" w:themeColor="text1"/>
          <w:sz w:val="22"/>
          <w:szCs w:val="22"/>
          <w:lang w:val="es-CR"/>
        </w:rPr>
        <w:t xml:space="preserve"> y </w:t>
      </w:r>
      <w:r w:rsidR="006A1203" w:rsidRPr="00295086">
        <w:rPr>
          <w:color w:val="000000" w:themeColor="text1"/>
          <w:sz w:val="22"/>
          <w:szCs w:val="22"/>
          <w:lang w:val="es-CR"/>
        </w:rPr>
        <w:t>N°</w:t>
      </w:r>
      <w:r w:rsidR="00E638B5">
        <w:rPr>
          <w:color w:val="000000" w:themeColor="text1"/>
          <w:sz w:val="22"/>
          <w:szCs w:val="22"/>
          <w:lang w:val="es-CR"/>
        </w:rPr>
        <w:t>000</w:t>
      </w:r>
      <w:r w:rsidR="002E5B0F" w:rsidRPr="00295086">
        <w:rPr>
          <w:color w:val="000000" w:themeColor="text1"/>
          <w:sz w:val="22"/>
          <w:szCs w:val="22"/>
          <w:lang w:val="es-CR"/>
        </w:rPr>
        <w:t xml:space="preserve">, </w:t>
      </w:r>
      <w:r w:rsidR="002E5B0F" w:rsidRPr="00295086">
        <w:rPr>
          <w:color w:val="000000" w:themeColor="text1"/>
          <w:sz w:val="22"/>
          <w:szCs w:val="22"/>
          <w:lang w:val="es-CR"/>
        </w:rPr>
        <w:lastRenderedPageBreak/>
        <w:t xml:space="preserve">operadas por la empresa </w:t>
      </w:r>
      <w:r w:rsidR="00E638B5">
        <w:rPr>
          <w:b/>
          <w:smallCaps/>
          <w:color w:val="000000" w:themeColor="text1"/>
          <w:sz w:val="22"/>
          <w:szCs w:val="22"/>
          <w:lang w:val="es-CR"/>
        </w:rPr>
        <w:t>TPCQ</w:t>
      </w:r>
      <w:r w:rsidR="002E5B0F" w:rsidRPr="00295086">
        <w:rPr>
          <w:b/>
          <w:smallCaps/>
          <w:color w:val="000000" w:themeColor="text1"/>
          <w:sz w:val="22"/>
          <w:szCs w:val="22"/>
          <w:lang w:val="es-CR"/>
        </w:rPr>
        <w:t>, s.a</w:t>
      </w:r>
      <w:r w:rsidR="002E5B0F" w:rsidRPr="00295086">
        <w:rPr>
          <w:b/>
          <w:bCs/>
          <w:color w:val="000000" w:themeColor="text1"/>
          <w:sz w:val="22"/>
          <w:szCs w:val="22"/>
          <w:lang w:val="es-CR"/>
        </w:rPr>
        <w:t>.</w:t>
      </w:r>
      <w:r w:rsidR="002E5B0F" w:rsidRPr="00295086">
        <w:rPr>
          <w:color w:val="000000" w:themeColor="text1"/>
          <w:sz w:val="22"/>
          <w:szCs w:val="22"/>
          <w:lang w:val="es-CR"/>
        </w:rPr>
        <w:t>,</w:t>
      </w:r>
      <w:r w:rsidR="006A1203" w:rsidRPr="00295086">
        <w:rPr>
          <w:color w:val="000000" w:themeColor="text1"/>
          <w:sz w:val="22"/>
          <w:szCs w:val="22"/>
          <w:lang w:val="es-CR"/>
        </w:rPr>
        <w:t xml:space="preserve"> bajo el número CTP-DT-DING-INF-0235-2021, en el cual</w:t>
      </w:r>
      <w:r w:rsidR="0090483D" w:rsidRPr="00295086">
        <w:rPr>
          <w:color w:val="000000" w:themeColor="text1"/>
          <w:sz w:val="22"/>
          <w:szCs w:val="22"/>
          <w:lang w:val="es-CR"/>
        </w:rPr>
        <w:t xml:space="preserve"> establece en lo que interesa que</w:t>
      </w:r>
      <w:r w:rsidR="004F4482" w:rsidRPr="00295086">
        <w:rPr>
          <w:color w:val="000000" w:themeColor="text1"/>
          <w:sz w:val="22"/>
          <w:szCs w:val="22"/>
          <w:lang w:val="es-CR"/>
        </w:rPr>
        <w:t>:</w:t>
      </w:r>
      <w:r w:rsidR="0090483D" w:rsidRPr="00295086">
        <w:rPr>
          <w:color w:val="000000" w:themeColor="text1"/>
          <w:sz w:val="22"/>
          <w:szCs w:val="22"/>
          <w:lang w:val="es-CR"/>
        </w:rPr>
        <w:t xml:space="preserve"> </w:t>
      </w:r>
      <w:r w:rsidR="004F4482" w:rsidRPr="00295086">
        <w:rPr>
          <w:color w:val="000000" w:themeColor="text1"/>
          <w:sz w:val="22"/>
          <w:szCs w:val="22"/>
          <w:lang w:val="es-CR"/>
        </w:rPr>
        <w:t>«</w:t>
      </w:r>
      <w:r w:rsidR="0090483D" w:rsidRPr="00295086">
        <w:rPr>
          <w:i/>
          <w:iCs/>
          <w:color w:val="000000" w:themeColor="text1"/>
          <w:sz w:val="22"/>
          <w:szCs w:val="22"/>
          <w:lang w:val="es-CR"/>
        </w:rPr>
        <w:t>la unificación de los códigos de las rutas N°</w:t>
      </w:r>
      <w:r w:rsidR="00E638B5">
        <w:rPr>
          <w:i/>
          <w:iCs/>
          <w:color w:val="000000" w:themeColor="text1"/>
          <w:sz w:val="22"/>
          <w:szCs w:val="22"/>
          <w:lang w:val="es-CR"/>
        </w:rPr>
        <w:t>000</w:t>
      </w:r>
      <w:r w:rsidR="0090483D" w:rsidRPr="00295086">
        <w:rPr>
          <w:i/>
          <w:iCs/>
          <w:color w:val="000000" w:themeColor="text1"/>
          <w:sz w:val="22"/>
          <w:szCs w:val="22"/>
          <w:lang w:val="es-CR"/>
        </w:rPr>
        <w:t xml:space="preserve"> y N°</w:t>
      </w:r>
      <w:r w:rsidR="00E638B5">
        <w:rPr>
          <w:i/>
          <w:iCs/>
          <w:color w:val="000000" w:themeColor="text1"/>
          <w:sz w:val="22"/>
          <w:szCs w:val="22"/>
          <w:lang w:val="es-CR"/>
        </w:rPr>
        <w:t>000</w:t>
      </w:r>
      <w:r w:rsidR="0090483D" w:rsidRPr="00295086">
        <w:rPr>
          <w:i/>
          <w:iCs/>
          <w:color w:val="000000" w:themeColor="text1"/>
          <w:sz w:val="22"/>
          <w:szCs w:val="22"/>
          <w:lang w:val="es-CR"/>
        </w:rPr>
        <w:t xml:space="preserve">, operadas por la empresa </w:t>
      </w:r>
      <w:r w:rsidR="00E638B5">
        <w:rPr>
          <w:i/>
          <w:iCs/>
          <w:color w:val="000000" w:themeColor="text1"/>
          <w:sz w:val="22"/>
          <w:szCs w:val="22"/>
          <w:lang w:val="es-CR"/>
        </w:rPr>
        <w:t>TPCQ</w:t>
      </w:r>
      <w:r w:rsidR="0090483D" w:rsidRPr="00295086">
        <w:rPr>
          <w:i/>
          <w:iCs/>
          <w:color w:val="000000" w:themeColor="text1"/>
          <w:sz w:val="22"/>
          <w:szCs w:val="22"/>
          <w:lang w:val="es-CR"/>
        </w:rPr>
        <w:t xml:space="preserve"> S.A bajo un único código de Ruta N° </w:t>
      </w:r>
      <w:r w:rsidR="00E638B5">
        <w:rPr>
          <w:i/>
          <w:iCs/>
          <w:color w:val="000000" w:themeColor="text1"/>
          <w:sz w:val="22"/>
          <w:szCs w:val="22"/>
          <w:lang w:val="es-CR"/>
        </w:rPr>
        <w:t>000</w:t>
      </w:r>
      <w:r w:rsidR="0090483D" w:rsidRPr="00295086">
        <w:rPr>
          <w:i/>
          <w:iCs/>
          <w:color w:val="000000" w:themeColor="text1"/>
          <w:sz w:val="22"/>
          <w:szCs w:val="22"/>
          <w:lang w:val="es-CR"/>
        </w:rPr>
        <w:t xml:space="preserve"> es técnicamente viable pues todo los recorridos presentan características como la atención de sectores de población contiguos, no se presenta afectación al usuario ni a los operadores cercano; permitiendo un mane</w:t>
      </w:r>
      <w:r w:rsidR="004F4482" w:rsidRPr="00295086">
        <w:rPr>
          <w:i/>
          <w:iCs/>
          <w:color w:val="000000" w:themeColor="text1"/>
          <w:sz w:val="22"/>
          <w:szCs w:val="22"/>
          <w:lang w:val="es-CR"/>
        </w:rPr>
        <w:t xml:space="preserve">jo óptimo de la flota disponible y la posibilidad de optimizar los recorridos. Recomendado en definitiva unificar la flota de las Rutas N° </w:t>
      </w:r>
      <w:r w:rsidR="00E638B5">
        <w:rPr>
          <w:i/>
          <w:iCs/>
          <w:color w:val="000000" w:themeColor="text1"/>
          <w:sz w:val="22"/>
          <w:szCs w:val="22"/>
          <w:lang w:val="es-CR"/>
        </w:rPr>
        <w:t>000</w:t>
      </w:r>
      <w:r w:rsidR="004F4482" w:rsidRPr="00295086">
        <w:rPr>
          <w:i/>
          <w:iCs/>
          <w:color w:val="000000" w:themeColor="text1"/>
          <w:sz w:val="22"/>
          <w:szCs w:val="22"/>
          <w:lang w:val="es-CR"/>
        </w:rPr>
        <w:t xml:space="preserve"> y </w:t>
      </w:r>
      <w:r w:rsidR="00E638B5">
        <w:rPr>
          <w:i/>
          <w:iCs/>
          <w:color w:val="000000" w:themeColor="text1"/>
          <w:sz w:val="22"/>
          <w:szCs w:val="22"/>
          <w:lang w:val="es-CR"/>
        </w:rPr>
        <w:t>000</w:t>
      </w:r>
      <w:r w:rsidR="004F4482" w:rsidRPr="00295086">
        <w:rPr>
          <w:i/>
          <w:iCs/>
          <w:color w:val="000000" w:themeColor="text1"/>
          <w:sz w:val="22"/>
          <w:szCs w:val="22"/>
          <w:lang w:val="es-CR"/>
        </w:rPr>
        <w:t xml:space="preserve">, ahora bajo el único código de la Ruta N° </w:t>
      </w:r>
      <w:r w:rsidR="00E638B5">
        <w:rPr>
          <w:i/>
          <w:iCs/>
          <w:color w:val="000000" w:themeColor="text1"/>
          <w:sz w:val="22"/>
          <w:szCs w:val="22"/>
          <w:lang w:val="es-CR"/>
        </w:rPr>
        <w:t>000</w:t>
      </w:r>
      <w:r w:rsidR="004F4482" w:rsidRPr="00295086">
        <w:rPr>
          <w:i/>
          <w:iCs/>
          <w:color w:val="000000" w:themeColor="text1"/>
          <w:sz w:val="22"/>
          <w:szCs w:val="22"/>
          <w:lang w:val="es-CR"/>
        </w:rPr>
        <w:t xml:space="preserve"> </w:t>
      </w:r>
      <w:r w:rsidR="00B54C3D" w:rsidRPr="00295086">
        <w:rPr>
          <w:i/>
          <w:iCs/>
          <w:color w:val="000000" w:themeColor="text1"/>
          <w:sz w:val="22"/>
          <w:szCs w:val="22"/>
          <w:lang w:val="es-CR"/>
        </w:rPr>
        <w:t>y aumentar</w:t>
      </w:r>
      <w:r w:rsidR="004F4482" w:rsidRPr="00295086">
        <w:rPr>
          <w:i/>
          <w:iCs/>
          <w:color w:val="000000" w:themeColor="text1"/>
          <w:sz w:val="22"/>
          <w:szCs w:val="22"/>
          <w:lang w:val="es-CR"/>
        </w:rPr>
        <w:t xml:space="preserve"> en 5 </w:t>
      </w:r>
      <w:r w:rsidR="00B54C3D" w:rsidRPr="00295086">
        <w:rPr>
          <w:i/>
          <w:iCs/>
          <w:color w:val="000000" w:themeColor="text1"/>
          <w:sz w:val="22"/>
          <w:szCs w:val="22"/>
          <w:lang w:val="es-CR"/>
        </w:rPr>
        <w:t>unidades</w:t>
      </w:r>
      <w:r w:rsidR="004F4482" w:rsidRPr="00295086">
        <w:rPr>
          <w:i/>
          <w:iCs/>
          <w:color w:val="000000" w:themeColor="text1"/>
          <w:sz w:val="22"/>
          <w:szCs w:val="22"/>
          <w:lang w:val="es-CR"/>
        </w:rPr>
        <w:t xml:space="preserve"> la flota óptima de la Ruta N° </w:t>
      </w:r>
      <w:r w:rsidR="00E638B5">
        <w:rPr>
          <w:i/>
          <w:iCs/>
          <w:color w:val="000000" w:themeColor="text1"/>
          <w:sz w:val="22"/>
          <w:szCs w:val="22"/>
          <w:lang w:val="es-CR"/>
        </w:rPr>
        <w:t>000</w:t>
      </w:r>
      <w:r w:rsidR="004F4482" w:rsidRPr="00295086">
        <w:rPr>
          <w:i/>
          <w:iCs/>
          <w:color w:val="000000" w:themeColor="text1"/>
          <w:sz w:val="22"/>
          <w:szCs w:val="22"/>
          <w:lang w:val="es-CR"/>
        </w:rPr>
        <w:t xml:space="preserve">, bajo operación </w:t>
      </w:r>
      <w:r w:rsidR="00B54C3D" w:rsidRPr="00295086">
        <w:rPr>
          <w:i/>
          <w:iCs/>
          <w:color w:val="000000" w:themeColor="text1"/>
          <w:sz w:val="22"/>
          <w:szCs w:val="22"/>
          <w:lang w:val="es-CR"/>
        </w:rPr>
        <w:t>de</w:t>
      </w:r>
      <w:r w:rsidR="004F4482" w:rsidRPr="00295086">
        <w:rPr>
          <w:i/>
          <w:iCs/>
          <w:color w:val="000000" w:themeColor="text1"/>
          <w:sz w:val="22"/>
          <w:szCs w:val="22"/>
          <w:lang w:val="es-CR"/>
        </w:rPr>
        <w:t xml:space="preserve"> la</w:t>
      </w:r>
      <w:r w:rsidR="00B54C3D" w:rsidRPr="00295086">
        <w:rPr>
          <w:i/>
          <w:iCs/>
          <w:color w:val="000000" w:themeColor="text1"/>
          <w:sz w:val="22"/>
          <w:szCs w:val="22"/>
          <w:lang w:val="es-CR"/>
        </w:rPr>
        <w:t xml:space="preserve"> </w:t>
      </w:r>
      <w:r w:rsidR="004F4482" w:rsidRPr="00295086">
        <w:rPr>
          <w:i/>
          <w:iCs/>
          <w:color w:val="000000" w:themeColor="text1"/>
          <w:sz w:val="22"/>
          <w:szCs w:val="22"/>
          <w:lang w:val="es-CR"/>
        </w:rPr>
        <w:t xml:space="preserve">empresa </w:t>
      </w:r>
      <w:r w:rsidR="00E638B5">
        <w:rPr>
          <w:i/>
          <w:iCs/>
          <w:color w:val="000000" w:themeColor="text1"/>
          <w:sz w:val="22"/>
          <w:szCs w:val="22"/>
          <w:lang w:val="es-CR"/>
        </w:rPr>
        <w:t>TPCQ</w:t>
      </w:r>
      <w:r w:rsidR="00B54C3D" w:rsidRPr="00295086">
        <w:rPr>
          <w:i/>
          <w:iCs/>
          <w:color w:val="000000" w:themeColor="text1"/>
          <w:sz w:val="22"/>
          <w:szCs w:val="22"/>
          <w:lang w:val="es-CR"/>
        </w:rPr>
        <w:t xml:space="preserve">, S.A., quedando finalmente con 19 unidades, distribuidas de la siguiente forma: </w:t>
      </w:r>
      <w:r w:rsidR="00B54C3D" w:rsidRPr="00295086">
        <w:rPr>
          <w:i/>
          <w:iCs/>
          <w:sz w:val="22"/>
          <w:lang w:val="es-CR"/>
        </w:rPr>
        <w:t>Ruta N°</w:t>
      </w:r>
      <w:r w:rsidR="002A0E3D" w:rsidRPr="00295086">
        <w:rPr>
          <w:i/>
          <w:iCs/>
          <w:sz w:val="22"/>
          <w:lang w:val="es-CR"/>
        </w:rPr>
        <w:t xml:space="preserve"> </w:t>
      </w:r>
      <w:r w:rsidR="00E638B5">
        <w:rPr>
          <w:i/>
          <w:iCs/>
          <w:sz w:val="22"/>
          <w:lang w:val="es-CR"/>
        </w:rPr>
        <w:t>000</w:t>
      </w:r>
      <w:r w:rsidR="00B54C3D" w:rsidRPr="00295086">
        <w:rPr>
          <w:i/>
          <w:iCs/>
          <w:sz w:val="22"/>
          <w:lang w:val="es-CR"/>
        </w:rPr>
        <w:t xml:space="preserve">, Recorrido 1, Descripción:  </w:t>
      </w:r>
      <w:r w:rsidR="00806A4B">
        <w:rPr>
          <w:i/>
          <w:iCs/>
          <w:sz w:val="22"/>
          <w:lang w:val="es-CR"/>
        </w:rPr>
        <w:t>000</w:t>
      </w:r>
      <w:r w:rsidR="00B54C3D" w:rsidRPr="00295086">
        <w:rPr>
          <w:i/>
          <w:iCs/>
          <w:sz w:val="22"/>
          <w:lang w:val="es-CR"/>
        </w:rPr>
        <w:t xml:space="preserve">, Flota 2; Recorrido 2, Descripción: </w:t>
      </w:r>
      <w:r w:rsidR="00806A4B">
        <w:rPr>
          <w:i/>
          <w:iCs/>
          <w:sz w:val="22"/>
          <w:lang w:val="es-CR"/>
        </w:rPr>
        <w:t>000</w:t>
      </w:r>
      <w:r w:rsidR="00B54C3D" w:rsidRPr="00295086">
        <w:rPr>
          <w:i/>
          <w:iCs/>
          <w:sz w:val="22"/>
          <w:lang w:val="es-CR"/>
        </w:rPr>
        <w:t xml:space="preserve">, Flota 12; Recorrido 3, Descripción: 3: </w:t>
      </w:r>
      <w:r w:rsidR="00806A4B">
        <w:rPr>
          <w:i/>
          <w:iCs/>
          <w:sz w:val="22"/>
          <w:lang w:val="es-CR"/>
        </w:rPr>
        <w:t>000</w:t>
      </w:r>
      <w:r w:rsidR="00B54C3D" w:rsidRPr="00295086">
        <w:rPr>
          <w:i/>
          <w:iCs/>
          <w:sz w:val="22"/>
          <w:lang w:val="es-CR"/>
        </w:rPr>
        <w:t xml:space="preserve">, Flota 3; Recorrido 4, Descripción: </w:t>
      </w:r>
      <w:r w:rsidR="00806A4B">
        <w:rPr>
          <w:i/>
          <w:iCs/>
          <w:sz w:val="22"/>
          <w:lang w:val="es-CR"/>
        </w:rPr>
        <w:t>000</w:t>
      </w:r>
      <w:r w:rsidR="00B54C3D" w:rsidRPr="00295086">
        <w:rPr>
          <w:i/>
          <w:iCs/>
          <w:sz w:val="22"/>
          <w:lang w:val="es-CR"/>
        </w:rPr>
        <w:t xml:space="preserve">, Flota 1; Recorrido 5, Descripción: </w:t>
      </w:r>
      <w:r w:rsidR="00806A4B">
        <w:rPr>
          <w:i/>
          <w:iCs/>
          <w:sz w:val="22"/>
          <w:lang w:val="es-CR"/>
        </w:rPr>
        <w:t>000</w:t>
      </w:r>
      <w:r w:rsidR="00B54C3D" w:rsidRPr="00295086">
        <w:rPr>
          <w:i/>
          <w:iCs/>
          <w:sz w:val="22"/>
          <w:lang w:val="es-CR"/>
        </w:rPr>
        <w:t>-</w:t>
      </w:r>
      <w:r w:rsidR="00806A4B">
        <w:rPr>
          <w:i/>
          <w:iCs/>
          <w:sz w:val="22"/>
          <w:lang w:val="es-CR"/>
        </w:rPr>
        <w:t>000</w:t>
      </w:r>
      <w:r w:rsidR="00B54C3D" w:rsidRPr="00295086">
        <w:rPr>
          <w:i/>
          <w:iCs/>
          <w:sz w:val="22"/>
          <w:lang w:val="es-CR"/>
        </w:rPr>
        <w:t xml:space="preserve">, Flota 1; Recorrido 6, Descripción: </w:t>
      </w:r>
      <w:r w:rsidR="00806A4B">
        <w:rPr>
          <w:i/>
          <w:iCs/>
          <w:sz w:val="22"/>
          <w:lang w:val="es-CR"/>
        </w:rPr>
        <w:t>000</w:t>
      </w:r>
      <w:r w:rsidR="00B54C3D" w:rsidRPr="00295086">
        <w:rPr>
          <w:i/>
          <w:iCs/>
          <w:sz w:val="22"/>
          <w:lang w:val="es-CR"/>
        </w:rPr>
        <w:t>-</w:t>
      </w:r>
      <w:r w:rsidR="00806A4B">
        <w:rPr>
          <w:i/>
          <w:iCs/>
          <w:sz w:val="22"/>
          <w:lang w:val="es-CR"/>
        </w:rPr>
        <w:t>000</w:t>
      </w:r>
      <w:r w:rsidR="00B54C3D" w:rsidRPr="00295086">
        <w:rPr>
          <w:i/>
          <w:iCs/>
          <w:sz w:val="22"/>
          <w:lang w:val="es-CR"/>
        </w:rPr>
        <w:t xml:space="preserve">, Flota 1; Sumatoria 20, Flota </w:t>
      </w:r>
      <w:r w:rsidR="00170F1B" w:rsidRPr="00295086">
        <w:rPr>
          <w:i/>
          <w:iCs/>
          <w:sz w:val="22"/>
          <w:lang w:val="es-CR"/>
        </w:rPr>
        <w:t>O</w:t>
      </w:r>
      <w:r w:rsidR="00B54C3D" w:rsidRPr="00295086">
        <w:rPr>
          <w:i/>
          <w:iCs/>
          <w:sz w:val="22"/>
          <w:lang w:val="es-CR"/>
        </w:rPr>
        <w:t xml:space="preserve">ptimizada 19.» </w:t>
      </w:r>
      <w:r w:rsidR="00B54C3D" w:rsidRPr="00295086">
        <w:rPr>
          <w:color w:val="000000" w:themeColor="text1"/>
          <w:sz w:val="22"/>
          <w:szCs w:val="22"/>
          <w:lang w:val="es-CR"/>
        </w:rPr>
        <w:t>(Léanse los folios del 35 al 55 del expediente TAT-068-22)</w:t>
      </w:r>
    </w:p>
    <w:p w14:paraId="72689848" w14:textId="30A86A6F" w:rsidR="0090483D" w:rsidRDefault="0090483D" w:rsidP="00B54C3D">
      <w:pPr>
        <w:pStyle w:val="Style9"/>
        <w:tabs>
          <w:tab w:val="left" w:pos="284"/>
          <w:tab w:val="left" w:pos="426"/>
        </w:tabs>
        <w:kinsoku w:val="0"/>
        <w:autoSpaceDE/>
        <w:autoSpaceDN/>
        <w:spacing w:before="0" w:line="276" w:lineRule="auto"/>
        <w:ind w:right="0"/>
        <w:rPr>
          <w:rFonts w:eastAsia="Times New Roman"/>
          <w:color w:val="000000" w:themeColor="text1"/>
          <w:sz w:val="22"/>
          <w:szCs w:val="22"/>
          <w:lang w:val="es-CR" w:eastAsia="es-ES"/>
        </w:rPr>
      </w:pPr>
    </w:p>
    <w:p w14:paraId="49D24ADA" w14:textId="77777777" w:rsidR="00650DEA" w:rsidRPr="00961540" w:rsidRDefault="00650DEA" w:rsidP="00961540">
      <w:pPr>
        <w:pStyle w:val="Prrafodelista"/>
        <w:numPr>
          <w:ilvl w:val="0"/>
          <w:numId w:val="11"/>
        </w:numPr>
        <w:spacing w:line="276" w:lineRule="auto"/>
        <w:ind w:left="0" w:firstLine="0"/>
        <w:contextualSpacing w:val="0"/>
        <w:jc w:val="both"/>
        <w:rPr>
          <w:iCs/>
          <w:color w:val="000000" w:themeColor="text1"/>
          <w:lang w:val="es-CR"/>
        </w:rPr>
      </w:pPr>
      <w:r w:rsidRPr="00961540">
        <w:rPr>
          <w:b/>
          <w:color w:val="000000" w:themeColor="text1"/>
          <w:lang w:val="es-CR"/>
        </w:rPr>
        <w:t xml:space="preserve">HECHOS NO PROBADOS. – </w:t>
      </w:r>
      <w:r w:rsidRPr="00961540">
        <w:rPr>
          <w:color w:val="000000" w:themeColor="text1"/>
          <w:lang w:val="es-CR"/>
        </w:rPr>
        <w:t>Ninguno de</w:t>
      </w:r>
      <w:r w:rsidRPr="00961540">
        <w:rPr>
          <w:b/>
          <w:color w:val="000000" w:themeColor="text1"/>
          <w:lang w:val="es-CR"/>
        </w:rPr>
        <w:t xml:space="preserve"> </w:t>
      </w:r>
      <w:r w:rsidRPr="00961540">
        <w:rPr>
          <w:color w:val="000000" w:themeColor="text1"/>
          <w:lang w:val="es-CR"/>
        </w:rPr>
        <w:t>importancia para la resolución del presente asunto.</w:t>
      </w:r>
    </w:p>
    <w:p w14:paraId="238E6D1B" w14:textId="77777777" w:rsidR="00650DEA" w:rsidRPr="00961540" w:rsidRDefault="00650DEA" w:rsidP="00961540">
      <w:pPr>
        <w:pStyle w:val="Prrafodelista"/>
        <w:spacing w:line="276" w:lineRule="auto"/>
        <w:ind w:left="0"/>
        <w:contextualSpacing w:val="0"/>
        <w:jc w:val="both"/>
        <w:rPr>
          <w:iCs/>
          <w:color w:val="000000" w:themeColor="text1"/>
          <w:lang w:val="es-CR"/>
        </w:rPr>
      </w:pPr>
    </w:p>
    <w:p w14:paraId="1BBC7628" w14:textId="56951E25" w:rsidR="00961540" w:rsidRPr="00961540" w:rsidRDefault="00650DEA" w:rsidP="00961540">
      <w:pPr>
        <w:pStyle w:val="Prrafodelista"/>
        <w:numPr>
          <w:ilvl w:val="0"/>
          <w:numId w:val="11"/>
        </w:numPr>
        <w:spacing w:line="276" w:lineRule="auto"/>
        <w:ind w:left="0" w:firstLine="0"/>
        <w:contextualSpacing w:val="0"/>
        <w:jc w:val="both"/>
        <w:rPr>
          <w:color w:val="000000" w:themeColor="text1"/>
        </w:rPr>
      </w:pPr>
      <w:r w:rsidRPr="00961540">
        <w:rPr>
          <w:b/>
          <w:iCs/>
          <w:color w:val="000000" w:themeColor="text1"/>
          <w:lang w:val="es-CR"/>
        </w:rPr>
        <w:t xml:space="preserve">SOBRE EL FONDO. </w:t>
      </w:r>
      <w:r w:rsidRPr="00961540">
        <w:rPr>
          <w:iCs/>
          <w:color w:val="000000" w:themeColor="text1"/>
          <w:lang w:val="es-CR"/>
        </w:rPr>
        <w:t xml:space="preserve"> </w:t>
      </w:r>
      <w:r w:rsidRPr="00961540">
        <w:rPr>
          <w:color w:val="000000" w:themeColor="text1"/>
        </w:rPr>
        <w:t>En el caso concreto</w:t>
      </w:r>
      <w:r w:rsidR="00961540" w:rsidRPr="00961540">
        <w:rPr>
          <w:color w:val="000000" w:themeColor="text1"/>
        </w:rPr>
        <w:t xml:space="preserve">, es importante recordar que la Ley Reguladora del Transporte Remunerado de Personas en Vehículos Automotores, Ley </w:t>
      </w:r>
      <w:r w:rsidR="00150A84">
        <w:rPr>
          <w:color w:val="000000" w:themeColor="text1"/>
        </w:rPr>
        <w:t xml:space="preserve">No. </w:t>
      </w:r>
      <w:r w:rsidR="00961540" w:rsidRPr="00961540">
        <w:rPr>
          <w:color w:val="000000" w:themeColor="text1"/>
        </w:rPr>
        <w:t xml:space="preserve">3503, en su artículo 1, dispone que: </w:t>
      </w:r>
    </w:p>
    <w:p w14:paraId="280D94F4" w14:textId="77777777" w:rsidR="00961540" w:rsidRPr="00961540" w:rsidRDefault="00961540" w:rsidP="00961540">
      <w:pPr>
        <w:spacing w:line="276" w:lineRule="auto"/>
        <w:jc w:val="both"/>
        <w:rPr>
          <w:color w:val="000000" w:themeColor="text1"/>
        </w:rPr>
      </w:pPr>
    </w:p>
    <w:p w14:paraId="2C1825DD" w14:textId="77777777" w:rsidR="00961540" w:rsidRPr="00961540" w:rsidRDefault="00961540" w:rsidP="00961540">
      <w:pPr>
        <w:ind w:left="851" w:right="851"/>
        <w:jc w:val="both"/>
        <w:rPr>
          <w:b/>
          <w:color w:val="000000" w:themeColor="text1"/>
          <w:sz w:val="20"/>
          <w:szCs w:val="20"/>
        </w:rPr>
      </w:pPr>
      <w:r w:rsidRPr="00961540">
        <w:rPr>
          <w:color w:val="000000" w:themeColor="text1"/>
          <w:sz w:val="20"/>
          <w:szCs w:val="20"/>
        </w:rPr>
        <w:t>“</w:t>
      </w:r>
      <w:r w:rsidRPr="00961540">
        <w:rPr>
          <w:i/>
          <w:color w:val="000000" w:themeColor="text1"/>
          <w:sz w:val="20"/>
          <w:szCs w:val="20"/>
        </w:rPr>
        <w:t xml:space="preserve">El transporte remunerado de personas en vehículos automotores colectivos, excepto los automóviles de servicio de taxi regulado en otra ley, que se lleva a cabo por calles, carreteras y caminos dentro del territorio nacional, </w:t>
      </w:r>
      <w:r w:rsidRPr="00961540">
        <w:rPr>
          <w:b/>
          <w:i/>
          <w:color w:val="000000" w:themeColor="text1"/>
          <w:sz w:val="20"/>
          <w:szCs w:val="20"/>
          <w:u w:val="single"/>
        </w:rPr>
        <w:t>es un servicio público regulado, controlado y vigilado</w:t>
      </w:r>
      <w:r w:rsidRPr="00961540">
        <w:rPr>
          <w:i/>
          <w:color w:val="000000" w:themeColor="text1"/>
          <w:sz w:val="20"/>
          <w:szCs w:val="20"/>
          <w:u w:val="single"/>
        </w:rPr>
        <w:t xml:space="preserve"> </w:t>
      </w:r>
      <w:r w:rsidRPr="00961540">
        <w:rPr>
          <w:i/>
          <w:color w:val="000000" w:themeColor="text1"/>
          <w:sz w:val="20"/>
          <w:szCs w:val="20"/>
        </w:rPr>
        <w:t>por el Ministerio de Obras Públicas y Transportes”.</w:t>
      </w:r>
      <w:r w:rsidRPr="00961540">
        <w:rPr>
          <w:color w:val="000000" w:themeColor="text1"/>
          <w:sz w:val="20"/>
          <w:szCs w:val="20"/>
        </w:rPr>
        <w:t xml:space="preserve"> (Lo subrayado no es del original)</w:t>
      </w:r>
    </w:p>
    <w:p w14:paraId="3571653B" w14:textId="77777777" w:rsidR="00961540" w:rsidRPr="00961540" w:rsidRDefault="00961540" w:rsidP="00961540">
      <w:pPr>
        <w:pStyle w:val="NormalWeb"/>
        <w:spacing w:before="0" w:beforeAutospacing="0" w:after="0" w:afterAutospacing="0" w:line="276" w:lineRule="auto"/>
        <w:jc w:val="both"/>
        <w:rPr>
          <w:color w:val="000000" w:themeColor="text1"/>
        </w:rPr>
      </w:pPr>
    </w:p>
    <w:p w14:paraId="5A454905" w14:textId="793F093E" w:rsidR="00961540" w:rsidRPr="00961540" w:rsidRDefault="00961540" w:rsidP="00961540">
      <w:pPr>
        <w:pStyle w:val="NormalWeb"/>
        <w:spacing w:before="0" w:beforeAutospacing="0" w:after="0" w:afterAutospacing="0" w:line="276" w:lineRule="auto"/>
        <w:jc w:val="both"/>
        <w:rPr>
          <w:color w:val="000000" w:themeColor="text1"/>
        </w:rPr>
      </w:pPr>
      <w:r w:rsidRPr="00961540">
        <w:rPr>
          <w:color w:val="000000" w:themeColor="text1"/>
        </w:rPr>
        <w:t>Así las cosas, el transporte remunerado de personas es una competencia del Estado, quien la puede ejercer por sí o a través de particulares, sea por la vía de la concesión o del permiso, por lo que su naturaleza jurídica es la de un servicio público</w:t>
      </w:r>
      <w:r w:rsidR="00150A84">
        <w:rPr>
          <w:color w:val="000000" w:themeColor="text1"/>
        </w:rPr>
        <w:t xml:space="preserve"> por lo que</w:t>
      </w:r>
      <w:r w:rsidRPr="00961540">
        <w:rPr>
          <w:color w:val="000000" w:themeColor="text1"/>
        </w:rPr>
        <w:t xml:space="preserve"> se encuentra subordinada al régimen del derecho público. </w:t>
      </w:r>
    </w:p>
    <w:p w14:paraId="2F0F34B0" w14:textId="77777777" w:rsidR="00961540" w:rsidRPr="00961540" w:rsidRDefault="00961540" w:rsidP="00961540">
      <w:pPr>
        <w:pStyle w:val="NormalWeb"/>
        <w:spacing w:before="0" w:beforeAutospacing="0" w:after="0" w:afterAutospacing="0" w:line="276" w:lineRule="auto"/>
        <w:jc w:val="both"/>
        <w:rPr>
          <w:color w:val="000000" w:themeColor="text1"/>
        </w:rPr>
      </w:pPr>
    </w:p>
    <w:p w14:paraId="7564FEAE" w14:textId="6D6F672B" w:rsidR="00961540" w:rsidRPr="00961540" w:rsidRDefault="00961540" w:rsidP="00961540">
      <w:pPr>
        <w:pStyle w:val="NormalWeb"/>
        <w:spacing w:before="0" w:beforeAutospacing="0" w:after="0" w:afterAutospacing="0" w:line="276" w:lineRule="auto"/>
        <w:jc w:val="both"/>
        <w:rPr>
          <w:color w:val="000000" w:themeColor="text1"/>
        </w:rPr>
      </w:pPr>
      <w:r w:rsidRPr="00961540">
        <w:rPr>
          <w:color w:val="000000" w:themeColor="text1"/>
        </w:rPr>
        <w:t xml:space="preserve">La Administración, tiene el deber  de fiscalizar y verificar la correcta prestación del servicio remunerado de personas que delega en los particulares, pero también </w:t>
      </w:r>
      <w:r w:rsidRPr="00961540">
        <w:rPr>
          <w:i/>
          <w:color w:val="000000" w:themeColor="text1"/>
        </w:rPr>
        <w:t>cuenta con la potestad de dictar todas aquellas pautas generales que de acuerdo con criterios técnicos sean necesarias para una mejor prestación del servicio público cedido</w:t>
      </w:r>
      <w:r w:rsidRPr="00961540">
        <w:rPr>
          <w:color w:val="000000" w:themeColor="text1"/>
        </w:rPr>
        <w:t xml:space="preserve">, con prerrogativas y potestades especiales que le permiten fijar itinerarios, horarios, condiciones, realizar los estudios técnicos pertinentes, que determinen la mayor eficiencia, continuidad y seguridad de los servicios públicos.  </w:t>
      </w:r>
    </w:p>
    <w:p w14:paraId="3E8B42A3" w14:textId="65D5CBE3" w:rsidR="00961540" w:rsidRDefault="00961540" w:rsidP="00961540">
      <w:pPr>
        <w:pStyle w:val="NormalWeb"/>
        <w:spacing w:before="0" w:beforeAutospacing="0" w:after="0" w:afterAutospacing="0" w:line="276" w:lineRule="auto"/>
        <w:jc w:val="both"/>
        <w:rPr>
          <w:color w:val="000000" w:themeColor="text1"/>
        </w:rPr>
      </w:pPr>
    </w:p>
    <w:p w14:paraId="4ACD61F9" w14:textId="42CB5AE9" w:rsidR="00170F1B" w:rsidRDefault="00170F1B" w:rsidP="00961540">
      <w:pPr>
        <w:pStyle w:val="NormalWeb"/>
        <w:spacing w:before="0" w:beforeAutospacing="0" w:after="0" w:afterAutospacing="0" w:line="276" w:lineRule="auto"/>
        <w:jc w:val="both"/>
        <w:rPr>
          <w:color w:val="000000" w:themeColor="text1"/>
        </w:rPr>
      </w:pPr>
      <w:r>
        <w:rPr>
          <w:color w:val="000000" w:themeColor="text1"/>
        </w:rPr>
        <w:t>Así, el Consejo de Transporte Público</w:t>
      </w:r>
      <w:r w:rsidR="0038277C">
        <w:rPr>
          <w:color w:val="000000" w:themeColor="text1"/>
        </w:rPr>
        <w:t xml:space="preserve"> </w:t>
      </w:r>
      <w:r>
        <w:rPr>
          <w:color w:val="000000" w:themeColor="text1"/>
        </w:rPr>
        <w:t>tiene</w:t>
      </w:r>
      <w:r w:rsidR="0038277C">
        <w:rPr>
          <w:color w:val="000000" w:themeColor="text1"/>
        </w:rPr>
        <w:t>,</w:t>
      </w:r>
      <w:r>
        <w:rPr>
          <w:color w:val="000000" w:themeColor="text1"/>
        </w:rPr>
        <w:t xml:space="preserve"> entre otras</w:t>
      </w:r>
      <w:r w:rsidR="0038277C">
        <w:rPr>
          <w:color w:val="000000" w:themeColor="text1"/>
        </w:rPr>
        <w:t>,</w:t>
      </w:r>
      <w:r>
        <w:rPr>
          <w:color w:val="000000" w:themeColor="text1"/>
        </w:rPr>
        <w:t xml:space="preserve"> las siguientes atribuciones</w:t>
      </w:r>
      <w:r w:rsidR="0038277C">
        <w:rPr>
          <w:color w:val="000000" w:themeColor="text1"/>
        </w:rPr>
        <w:t xml:space="preserve"> dentro de la cual se enmarca la regulación y el control de lo referente al transporte remunerado de personas modalidad autobús:</w:t>
      </w:r>
    </w:p>
    <w:p w14:paraId="2C4088C3" w14:textId="77777777" w:rsidR="0038277C" w:rsidRDefault="0038277C" w:rsidP="00961540">
      <w:pPr>
        <w:pStyle w:val="NormalWeb"/>
        <w:spacing w:before="0" w:beforeAutospacing="0" w:after="0" w:afterAutospacing="0" w:line="276" w:lineRule="auto"/>
        <w:jc w:val="both"/>
        <w:rPr>
          <w:color w:val="000000" w:themeColor="text1"/>
        </w:rPr>
      </w:pPr>
    </w:p>
    <w:p w14:paraId="2DB590D4" w14:textId="77777777" w:rsidR="00170F1B" w:rsidRPr="00170F1B" w:rsidRDefault="00170F1B" w:rsidP="00170F1B">
      <w:pPr>
        <w:widowControl w:val="0"/>
        <w:ind w:left="567" w:right="567"/>
        <w:jc w:val="both"/>
        <w:rPr>
          <w:b/>
          <w:i/>
          <w:iCs/>
          <w:color w:val="000000"/>
          <w:sz w:val="20"/>
          <w:szCs w:val="20"/>
          <w:lang w:eastAsia="es-CR"/>
        </w:rPr>
      </w:pPr>
      <w:r w:rsidRPr="00170F1B">
        <w:rPr>
          <w:bCs/>
          <w:i/>
          <w:iCs/>
          <w:color w:val="000000"/>
          <w:sz w:val="20"/>
          <w:szCs w:val="20"/>
          <w:lang w:eastAsia="es-CR"/>
        </w:rPr>
        <w:lastRenderedPageBreak/>
        <w:t>“</w:t>
      </w:r>
      <w:r w:rsidRPr="00170F1B">
        <w:rPr>
          <w:b/>
          <w:i/>
          <w:iCs/>
          <w:color w:val="000000"/>
          <w:sz w:val="20"/>
          <w:szCs w:val="20"/>
          <w:lang w:eastAsia="es-CR"/>
        </w:rPr>
        <w:t>Artículo 7.- Atribuciones del Consejo</w:t>
      </w:r>
    </w:p>
    <w:p w14:paraId="2981D468" w14:textId="77777777" w:rsidR="00170F1B" w:rsidRPr="00170F1B" w:rsidRDefault="00170F1B" w:rsidP="00170F1B">
      <w:pPr>
        <w:widowControl w:val="0"/>
        <w:ind w:left="567" w:right="567"/>
        <w:jc w:val="both"/>
        <w:rPr>
          <w:i/>
          <w:iCs/>
          <w:color w:val="000000"/>
          <w:sz w:val="20"/>
          <w:szCs w:val="20"/>
          <w:lang w:eastAsia="es-CR"/>
        </w:rPr>
      </w:pPr>
      <w:r w:rsidRPr="00170F1B">
        <w:rPr>
          <w:i/>
          <w:iCs/>
          <w:color w:val="000000"/>
          <w:sz w:val="20"/>
          <w:szCs w:val="20"/>
          <w:lang w:eastAsia="es-CR"/>
        </w:rPr>
        <w:t>El Consejo, en el ejercicio de sus competencias, tendrá las siguientes atribuciones:</w:t>
      </w:r>
    </w:p>
    <w:p w14:paraId="74BE66E1" w14:textId="77777777" w:rsidR="00170F1B" w:rsidRPr="00170F1B" w:rsidRDefault="00170F1B" w:rsidP="00170F1B">
      <w:pPr>
        <w:widowControl w:val="0"/>
        <w:ind w:left="567" w:right="567"/>
        <w:jc w:val="both"/>
        <w:rPr>
          <w:i/>
          <w:iCs/>
          <w:color w:val="000000"/>
          <w:sz w:val="20"/>
          <w:szCs w:val="20"/>
          <w:lang w:eastAsia="es-CR"/>
        </w:rPr>
      </w:pPr>
    </w:p>
    <w:p w14:paraId="477DC26B" w14:textId="77777777" w:rsidR="00170F1B" w:rsidRPr="00170F1B" w:rsidRDefault="00170F1B" w:rsidP="00170F1B">
      <w:pPr>
        <w:widowControl w:val="0"/>
        <w:ind w:left="567" w:right="567"/>
        <w:jc w:val="both"/>
        <w:rPr>
          <w:i/>
          <w:iCs/>
          <w:color w:val="000000"/>
          <w:sz w:val="20"/>
          <w:szCs w:val="20"/>
          <w:lang w:eastAsia="es-CR"/>
        </w:rPr>
      </w:pPr>
      <w:r w:rsidRPr="00170F1B">
        <w:rPr>
          <w:i/>
          <w:iCs/>
          <w:color w:val="000000"/>
          <w:sz w:val="20"/>
          <w:szCs w:val="20"/>
          <w:lang w:eastAsia="es-CR"/>
        </w:rPr>
        <w:t>a) Coordinar la aplicación correcta de las políticas de transporte público, su planeamiento, la revisión técnica, el otorgamiento y la administración de las concesiones, así como la regulación de los permisos que legalmente procedan.</w:t>
      </w:r>
    </w:p>
    <w:p w14:paraId="3E98664D" w14:textId="77777777" w:rsidR="00170F1B" w:rsidRPr="00170F1B" w:rsidRDefault="00170F1B" w:rsidP="00170F1B">
      <w:pPr>
        <w:widowControl w:val="0"/>
        <w:ind w:left="567" w:right="567"/>
        <w:jc w:val="both"/>
        <w:rPr>
          <w:i/>
          <w:iCs/>
          <w:color w:val="000000"/>
          <w:sz w:val="20"/>
          <w:szCs w:val="20"/>
          <w:lang w:eastAsia="es-CR"/>
        </w:rPr>
      </w:pPr>
      <w:r w:rsidRPr="00170F1B">
        <w:rPr>
          <w:i/>
          <w:iCs/>
          <w:color w:val="000000"/>
          <w:sz w:val="20"/>
          <w:szCs w:val="20"/>
          <w:lang w:eastAsia="es-CR"/>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7799733B" w14:textId="77777777" w:rsidR="00170F1B" w:rsidRPr="00170F1B" w:rsidRDefault="00170F1B" w:rsidP="00170F1B">
      <w:pPr>
        <w:widowControl w:val="0"/>
        <w:ind w:left="567" w:right="567"/>
        <w:jc w:val="both"/>
        <w:rPr>
          <w:i/>
          <w:iCs/>
          <w:color w:val="000000"/>
          <w:sz w:val="20"/>
          <w:szCs w:val="20"/>
          <w:lang w:eastAsia="es-CR"/>
        </w:rPr>
      </w:pPr>
      <w:r w:rsidRPr="00170F1B">
        <w:rPr>
          <w:i/>
          <w:iCs/>
          <w:color w:val="000000"/>
          <w:sz w:val="20"/>
          <w:szCs w:val="20"/>
          <w:lang w:eastAsia="es-CR"/>
        </w:rPr>
        <w:t>(…)</w:t>
      </w:r>
    </w:p>
    <w:p w14:paraId="54E6A7C7" w14:textId="77777777" w:rsidR="00170F1B" w:rsidRPr="00170F1B" w:rsidRDefault="00170F1B" w:rsidP="00170F1B">
      <w:pPr>
        <w:widowControl w:val="0"/>
        <w:ind w:left="567" w:right="567"/>
        <w:jc w:val="both"/>
        <w:rPr>
          <w:i/>
          <w:iCs/>
          <w:color w:val="000000"/>
          <w:sz w:val="20"/>
          <w:szCs w:val="20"/>
          <w:lang w:eastAsia="es-CR"/>
        </w:rPr>
      </w:pPr>
      <w:r w:rsidRPr="00170F1B">
        <w:rPr>
          <w:i/>
          <w:iCs/>
          <w:color w:val="000000"/>
          <w:sz w:val="20"/>
          <w:szCs w:val="20"/>
          <w:lang w:eastAsia="es-CR"/>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58D2E55A" w14:textId="77777777" w:rsidR="00170F1B" w:rsidRDefault="00170F1B" w:rsidP="00961540">
      <w:pPr>
        <w:pStyle w:val="NormalWeb"/>
        <w:spacing w:before="0" w:beforeAutospacing="0" w:after="0" w:afterAutospacing="0" w:line="276" w:lineRule="auto"/>
        <w:jc w:val="both"/>
        <w:rPr>
          <w:color w:val="000000" w:themeColor="text1"/>
        </w:rPr>
      </w:pPr>
    </w:p>
    <w:p w14:paraId="3DC0333A" w14:textId="18FF33AE" w:rsidR="00150A84" w:rsidRPr="00794F69" w:rsidRDefault="00150A84" w:rsidP="00150A84">
      <w:pPr>
        <w:jc w:val="both"/>
        <w:rPr>
          <w:bCs/>
        </w:rPr>
      </w:pPr>
      <w:r w:rsidRPr="00150A84">
        <w:rPr>
          <w:color w:val="000000" w:themeColor="text1"/>
        </w:rPr>
        <w:t>La empresa recurrente alega que «</w:t>
      </w:r>
      <w:r w:rsidRPr="00794F69">
        <w:rPr>
          <w:bCs/>
          <w:i/>
          <w:iCs/>
        </w:rPr>
        <w:t>está parcialmente de acuerdo con el informe del Departamento de Ingeniería en cuanto a la unificación de códigos realizada pero no en cuanto a la cantidad de unidades autorizada (19), porque superan realmente las que se ocupan para brindar el servicio</w:t>
      </w:r>
      <w:r w:rsidRPr="00794F69">
        <w:rPr>
          <w:bCs/>
        </w:rPr>
        <w:t xml:space="preserve">» </w:t>
      </w:r>
    </w:p>
    <w:p w14:paraId="44E58357" w14:textId="639DABE6" w:rsidR="00150A84" w:rsidRDefault="00150A84" w:rsidP="00961540">
      <w:pPr>
        <w:pStyle w:val="NormalWeb"/>
        <w:spacing w:before="0" w:beforeAutospacing="0" w:after="0" w:afterAutospacing="0" w:line="276" w:lineRule="auto"/>
        <w:jc w:val="both"/>
        <w:rPr>
          <w:color w:val="000000" w:themeColor="text1"/>
        </w:rPr>
      </w:pPr>
    </w:p>
    <w:p w14:paraId="56E34E32" w14:textId="77777777" w:rsidR="00295086" w:rsidRDefault="00295086" w:rsidP="00961540">
      <w:pPr>
        <w:pStyle w:val="NormalWeb"/>
        <w:spacing w:before="0" w:beforeAutospacing="0" w:after="0" w:afterAutospacing="0" w:line="276" w:lineRule="auto"/>
        <w:jc w:val="both"/>
        <w:rPr>
          <w:color w:val="000000" w:themeColor="text1"/>
        </w:rPr>
      </w:pPr>
    </w:p>
    <w:p w14:paraId="30729AD7" w14:textId="77777777" w:rsidR="00295086" w:rsidRDefault="00295086" w:rsidP="00961540">
      <w:pPr>
        <w:pStyle w:val="NormalWeb"/>
        <w:spacing w:before="0" w:beforeAutospacing="0" w:after="0" w:afterAutospacing="0" w:line="276" w:lineRule="auto"/>
        <w:jc w:val="both"/>
        <w:rPr>
          <w:color w:val="000000" w:themeColor="text1"/>
        </w:rPr>
      </w:pPr>
    </w:p>
    <w:p w14:paraId="3498658C" w14:textId="77777777" w:rsidR="00295086" w:rsidRDefault="00295086" w:rsidP="00961540">
      <w:pPr>
        <w:pStyle w:val="NormalWeb"/>
        <w:spacing w:before="0" w:beforeAutospacing="0" w:after="0" w:afterAutospacing="0" w:line="276" w:lineRule="auto"/>
        <w:jc w:val="both"/>
        <w:rPr>
          <w:color w:val="000000" w:themeColor="text1"/>
        </w:rPr>
      </w:pPr>
    </w:p>
    <w:p w14:paraId="2386E832" w14:textId="77777777" w:rsidR="00295086" w:rsidRDefault="00295086" w:rsidP="00961540">
      <w:pPr>
        <w:pStyle w:val="NormalWeb"/>
        <w:spacing w:before="0" w:beforeAutospacing="0" w:after="0" w:afterAutospacing="0" w:line="276" w:lineRule="auto"/>
        <w:jc w:val="both"/>
        <w:rPr>
          <w:color w:val="000000" w:themeColor="text1"/>
        </w:rPr>
      </w:pPr>
    </w:p>
    <w:p w14:paraId="08F7E31B" w14:textId="77777777" w:rsidR="00295086" w:rsidRDefault="00295086" w:rsidP="00961540">
      <w:pPr>
        <w:pStyle w:val="NormalWeb"/>
        <w:spacing w:before="0" w:beforeAutospacing="0" w:after="0" w:afterAutospacing="0" w:line="276" w:lineRule="auto"/>
        <w:jc w:val="both"/>
        <w:rPr>
          <w:color w:val="000000" w:themeColor="text1"/>
        </w:rPr>
      </w:pPr>
    </w:p>
    <w:p w14:paraId="535A3C36" w14:textId="40281CC9" w:rsidR="00FD661C" w:rsidRPr="00380936" w:rsidRDefault="00D63273" w:rsidP="00961540">
      <w:pPr>
        <w:pStyle w:val="NormalWeb"/>
        <w:spacing w:before="0" w:beforeAutospacing="0" w:after="0" w:afterAutospacing="0" w:line="276" w:lineRule="auto"/>
        <w:jc w:val="both"/>
        <w:rPr>
          <w:color w:val="000000" w:themeColor="text1"/>
        </w:rPr>
      </w:pPr>
      <w:r>
        <w:rPr>
          <w:color w:val="000000" w:themeColor="text1"/>
        </w:rPr>
        <w:t xml:space="preserve">Ahora bien, el </w:t>
      </w:r>
      <w:r w:rsidR="00C303E9">
        <w:rPr>
          <w:color w:val="000000" w:themeColor="text1"/>
        </w:rPr>
        <w:t xml:space="preserve">informe emitido por </w:t>
      </w:r>
      <w:r w:rsidR="00C303E9" w:rsidRPr="00C303E9">
        <w:rPr>
          <w:color w:val="000000" w:themeColor="text1"/>
        </w:rPr>
        <w:t>el Departamento de Ingeniería de la Dirección Técnica del Consejo de Transporte Público, emite el informe técnico para refrendo, Rutas N°</w:t>
      </w:r>
      <w:r w:rsidR="00E638B5">
        <w:rPr>
          <w:color w:val="000000" w:themeColor="text1"/>
        </w:rPr>
        <w:t>000</w:t>
      </w:r>
      <w:r w:rsidR="00C303E9" w:rsidRPr="00C303E9">
        <w:rPr>
          <w:color w:val="000000" w:themeColor="text1"/>
        </w:rPr>
        <w:t xml:space="preserve"> y N°</w:t>
      </w:r>
      <w:r w:rsidR="00E638B5">
        <w:rPr>
          <w:color w:val="000000" w:themeColor="text1"/>
        </w:rPr>
        <w:t>000</w:t>
      </w:r>
      <w:r w:rsidR="00C303E9" w:rsidRPr="00C303E9">
        <w:rPr>
          <w:color w:val="000000" w:themeColor="text1"/>
        </w:rPr>
        <w:t xml:space="preserve">, operadas por la EMPRESA </w:t>
      </w:r>
      <w:r w:rsidR="00E638B5">
        <w:rPr>
          <w:color w:val="000000" w:themeColor="text1"/>
        </w:rPr>
        <w:t>TPCQ</w:t>
      </w:r>
      <w:r w:rsidR="00C303E9" w:rsidRPr="00C303E9">
        <w:rPr>
          <w:color w:val="000000" w:themeColor="text1"/>
        </w:rPr>
        <w:t xml:space="preserve">, S.A., bajo el número CTP-DT-DING-INF-0235-2021, en el cual </w:t>
      </w:r>
      <w:r w:rsidR="00C303E9">
        <w:rPr>
          <w:color w:val="000000" w:themeColor="text1"/>
        </w:rPr>
        <w:t xml:space="preserve">recomienda </w:t>
      </w:r>
      <w:r w:rsidR="00380936">
        <w:rPr>
          <w:color w:val="000000" w:themeColor="text1"/>
        </w:rPr>
        <w:t xml:space="preserve">a la Junta Directiva del Consejo de Transporte Público, </w:t>
      </w:r>
      <w:r w:rsidR="00C303E9">
        <w:rPr>
          <w:color w:val="000000" w:themeColor="text1"/>
        </w:rPr>
        <w:t xml:space="preserve">la </w:t>
      </w:r>
      <w:r w:rsidR="00C303E9" w:rsidRPr="00380936">
        <w:rPr>
          <w:color w:val="000000" w:themeColor="text1"/>
        </w:rPr>
        <w:t xml:space="preserve">unificación de los códigos de las Rutas N° </w:t>
      </w:r>
      <w:r w:rsidR="00E638B5">
        <w:rPr>
          <w:color w:val="000000" w:themeColor="text1"/>
        </w:rPr>
        <w:t>000</w:t>
      </w:r>
      <w:r w:rsidR="00C303E9" w:rsidRPr="00380936">
        <w:rPr>
          <w:color w:val="000000" w:themeColor="text1"/>
        </w:rPr>
        <w:t xml:space="preserve"> y N° </w:t>
      </w:r>
      <w:r w:rsidR="00E638B5">
        <w:rPr>
          <w:color w:val="000000" w:themeColor="text1"/>
        </w:rPr>
        <w:t>000</w:t>
      </w:r>
      <w:r w:rsidR="00C303E9" w:rsidRPr="00380936">
        <w:rPr>
          <w:color w:val="000000" w:themeColor="text1"/>
        </w:rPr>
        <w:t>,</w:t>
      </w:r>
      <w:r w:rsidR="00380936">
        <w:rPr>
          <w:color w:val="000000" w:themeColor="text1"/>
        </w:rPr>
        <w:t xml:space="preserve"> bajo el código N°</w:t>
      </w:r>
      <w:r w:rsidR="00E638B5">
        <w:rPr>
          <w:color w:val="000000" w:themeColor="text1"/>
        </w:rPr>
        <w:t>000</w:t>
      </w:r>
      <w:r w:rsidR="00380936">
        <w:rPr>
          <w:color w:val="000000" w:themeColor="text1"/>
        </w:rPr>
        <w:t xml:space="preserve"> , </w:t>
      </w:r>
      <w:r w:rsidR="00380936" w:rsidRPr="00380936">
        <w:rPr>
          <w:color w:val="000000" w:themeColor="text1"/>
        </w:rPr>
        <w:t>en el cual incluye el recorrido 5 descrito como</w:t>
      </w:r>
      <w:r w:rsidR="00380936" w:rsidRPr="00380936">
        <w:rPr>
          <w:lang w:val="es-CR"/>
        </w:rPr>
        <w:t xml:space="preserve">: </w:t>
      </w:r>
      <w:r w:rsidR="00806A4B">
        <w:rPr>
          <w:lang w:val="es-CR"/>
        </w:rPr>
        <w:t>000</w:t>
      </w:r>
      <w:r w:rsidR="00380936" w:rsidRPr="00380936">
        <w:rPr>
          <w:lang w:val="es-CR"/>
        </w:rPr>
        <w:t>-</w:t>
      </w:r>
      <w:r w:rsidR="00806A4B">
        <w:rPr>
          <w:lang w:val="es-CR"/>
        </w:rPr>
        <w:t>000</w:t>
      </w:r>
      <w:r w:rsidR="00380936" w:rsidRPr="00380936">
        <w:rPr>
          <w:lang w:val="es-CR"/>
        </w:rPr>
        <w:t>, indicando la flota requerida</w:t>
      </w:r>
      <w:r w:rsidR="00380936">
        <w:rPr>
          <w:lang w:val="es-CR"/>
        </w:rPr>
        <w:t xml:space="preserve">, </w:t>
      </w:r>
      <w:r w:rsidR="00380936" w:rsidRPr="00380936">
        <w:rPr>
          <w:lang w:val="es-CR"/>
        </w:rPr>
        <w:t xml:space="preserve">y el </w:t>
      </w:r>
      <w:r w:rsidR="00380936" w:rsidRPr="00380936">
        <w:rPr>
          <w:color w:val="000000" w:themeColor="text1"/>
        </w:rPr>
        <w:t>recorrido 6 descrito como</w:t>
      </w:r>
      <w:r w:rsidR="00380936" w:rsidRPr="00380936">
        <w:rPr>
          <w:lang w:val="es-CR"/>
        </w:rPr>
        <w:t xml:space="preserve">: </w:t>
      </w:r>
      <w:r w:rsidR="00806A4B">
        <w:rPr>
          <w:lang w:val="es-CR"/>
        </w:rPr>
        <w:t>000</w:t>
      </w:r>
      <w:r w:rsidR="00380936" w:rsidRPr="00380936">
        <w:rPr>
          <w:lang w:val="es-CR"/>
        </w:rPr>
        <w:t>-</w:t>
      </w:r>
      <w:r w:rsidR="00806A4B">
        <w:rPr>
          <w:lang w:val="es-CR"/>
        </w:rPr>
        <w:t>000</w:t>
      </w:r>
      <w:r w:rsidR="00380936" w:rsidRPr="00380936">
        <w:rPr>
          <w:lang w:val="es-CR"/>
        </w:rPr>
        <w:t xml:space="preserve"> con su respectiva </w:t>
      </w:r>
      <w:r w:rsidR="00380936">
        <w:rPr>
          <w:lang w:val="es-CR"/>
        </w:rPr>
        <w:t>fl</w:t>
      </w:r>
      <w:r w:rsidR="00380936" w:rsidRPr="00380936">
        <w:rPr>
          <w:lang w:val="es-CR"/>
        </w:rPr>
        <w:t>ota</w:t>
      </w:r>
      <w:r w:rsidR="00380936">
        <w:rPr>
          <w:lang w:val="es-CR"/>
        </w:rPr>
        <w:t>, como de seguido se detalla:</w:t>
      </w:r>
    </w:p>
    <w:p w14:paraId="1F7DF68B" w14:textId="77777777" w:rsidR="00380936" w:rsidRDefault="00380936" w:rsidP="00961540">
      <w:pPr>
        <w:pStyle w:val="NormalWeb"/>
        <w:spacing w:before="0" w:beforeAutospacing="0" w:after="0" w:afterAutospacing="0" w:line="276" w:lineRule="auto"/>
        <w:jc w:val="both"/>
        <w:rPr>
          <w:color w:val="000000" w:themeColor="text1"/>
        </w:rPr>
      </w:pPr>
    </w:p>
    <w:tbl>
      <w:tblPr>
        <w:tblStyle w:val="Tablaconcuadrcula"/>
        <w:tblW w:w="0" w:type="auto"/>
        <w:jc w:val="center"/>
        <w:tblLook w:val="04A0" w:firstRow="1" w:lastRow="0" w:firstColumn="1" w:lastColumn="0" w:noHBand="0" w:noVBand="1"/>
      </w:tblPr>
      <w:tblGrid>
        <w:gridCol w:w="1169"/>
        <w:gridCol w:w="4922"/>
        <w:gridCol w:w="661"/>
      </w:tblGrid>
      <w:tr w:rsidR="00380936" w:rsidRPr="00033FD7" w14:paraId="4DAB2616" w14:textId="7D9A8038" w:rsidTr="00033FD7">
        <w:trPr>
          <w:jc w:val="center"/>
        </w:trPr>
        <w:tc>
          <w:tcPr>
            <w:tcW w:w="6658" w:type="dxa"/>
            <w:gridSpan w:val="3"/>
          </w:tcPr>
          <w:p w14:paraId="2B35D244" w14:textId="3742D17C"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 xml:space="preserve">Ruta N° </w:t>
            </w:r>
            <w:r w:rsidR="00E638B5">
              <w:rPr>
                <w:b/>
                <w:bCs/>
                <w:sz w:val="20"/>
                <w:szCs w:val="20"/>
                <w:lang w:val="es-ES"/>
              </w:rPr>
              <w:t>000</w:t>
            </w:r>
          </w:p>
        </w:tc>
      </w:tr>
      <w:tr w:rsidR="00380936" w:rsidRPr="00033FD7" w14:paraId="3F236305" w14:textId="4AD04029" w:rsidTr="00033FD7">
        <w:trPr>
          <w:jc w:val="center"/>
        </w:trPr>
        <w:tc>
          <w:tcPr>
            <w:tcW w:w="1169" w:type="dxa"/>
          </w:tcPr>
          <w:p w14:paraId="39E0F495" w14:textId="5478C3D1"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Recorrido</w:t>
            </w:r>
          </w:p>
        </w:tc>
        <w:tc>
          <w:tcPr>
            <w:tcW w:w="4922" w:type="dxa"/>
          </w:tcPr>
          <w:p w14:paraId="0613C2C3" w14:textId="77777777"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Descripción</w:t>
            </w:r>
          </w:p>
        </w:tc>
        <w:tc>
          <w:tcPr>
            <w:tcW w:w="567" w:type="dxa"/>
          </w:tcPr>
          <w:p w14:paraId="323A4D59" w14:textId="6EB7BE60"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Flota</w:t>
            </w:r>
          </w:p>
        </w:tc>
      </w:tr>
      <w:tr w:rsidR="00380936" w:rsidRPr="00033FD7" w14:paraId="4972BA43" w14:textId="01B60AC1" w:rsidTr="00033FD7">
        <w:trPr>
          <w:jc w:val="center"/>
        </w:trPr>
        <w:tc>
          <w:tcPr>
            <w:tcW w:w="1169" w:type="dxa"/>
          </w:tcPr>
          <w:p w14:paraId="4B9A88CA" w14:textId="77777777"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1</w:t>
            </w:r>
          </w:p>
        </w:tc>
        <w:tc>
          <w:tcPr>
            <w:tcW w:w="4922" w:type="dxa"/>
          </w:tcPr>
          <w:p w14:paraId="027E7C49" w14:textId="4CA4A5D5" w:rsidR="00380936" w:rsidRPr="00033FD7" w:rsidRDefault="00806A4B" w:rsidP="008638CA">
            <w:pPr>
              <w:pStyle w:val="Style9"/>
              <w:tabs>
                <w:tab w:val="left" w:pos="284"/>
                <w:tab w:val="left" w:pos="426"/>
              </w:tabs>
              <w:kinsoku w:val="0"/>
              <w:autoSpaceDE/>
              <w:autoSpaceDN/>
              <w:spacing w:before="0" w:line="276" w:lineRule="auto"/>
              <w:ind w:right="0"/>
              <w:rPr>
                <w:sz w:val="20"/>
                <w:szCs w:val="20"/>
                <w:lang w:val="es-ES"/>
              </w:rPr>
            </w:pPr>
            <w:r>
              <w:rPr>
                <w:sz w:val="20"/>
                <w:szCs w:val="20"/>
                <w:lang w:val="es-CR"/>
              </w:rPr>
              <w:t>000</w:t>
            </w:r>
          </w:p>
        </w:tc>
        <w:tc>
          <w:tcPr>
            <w:tcW w:w="567" w:type="dxa"/>
          </w:tcPr>
          <w:p w14:paraId="3FC7432A" w14:textId="482C1D72"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2</w:t>
            </w:r>
          </w:p>
        </w:tc>
      </w:tr>
      <w:tr w:rsidR="00380936" w:rsidRPr="00033FD7" w14:paraId="296047A9" w14:textId="5A686CD0" w:rsidTr="00033FD7">
        <w:trPr>
          <w:jc w:val="center"/>
        </w:trPr>
        <w:tc>
          <w:tcPr>
            <w:tcW w:w="1169" w:type="dxa"/>
          </w:tcPr>
          <w:p w14:paraId="51606998" w14:textId="77777777"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2</w:t>
            </w:r>
          </w:p>
        </w:tc>
        <w:tc>
          <w:tcPr>
            <w:tcW w:w="4922" w:type="dxa"/>
          </w:tcPr>
          <w:p w14:paraId="7ABFC11C" w14:textId="35D5B5B3" w:rsidR="00380936" w:rsidRPr="00033FD7" w:rsidRDefault="00806A4B" w:rsidP="008638CA">
            <w:pPr>
              <w:pStyle w:val="Style9"/>
              <w:tabs>
                <w:tab w:val="left" w:pos="284"/>
                <w:tab w:val="left" w:pos="426"/>
              </w:tabs>
              <w:kinsoku w:val="0"/>
              <w:autoSpaceDE/>
              <w:autoSpaceDN/>
              <w:spacing w:before="0" w:line="276" w:lineRule="auto"/>
              <w:ind w:right="0"/>
              <w:rPr>
                <w:sz w:val="20"/>
                <w:szCs w:val="20"/>
                <w:lang w:val="es-ES"/>
              </w:rPr>
            </w:pPr>
            <w:r>
              <w:rPr>
                <w:sz w:val="20"/>
                <w:szCs w:val="20"/>
                <w:lang w:val="es-CR"/>
              </w:rPr>
              <w:t>000</w:t>
            </w:r>
          </w:p>
        </w:tc>
        <w:tc>
          <w:tcPr>
            <w:tcW w:w="567" w:type="dxa"/>
          </w:tcPr>
          <w:p w14:paraId="73234E23" w14:textId="43C45B12"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12</w:t>
            </w:r>
          </w:p>
        </w:tc>
      </w:tr>
      <w:tr w:rsidR="00380936" w:rsidRPr="00033FD7" w14:paraId="7B7D83BD" w14:textId="2C79881B" w:rsidTr="00033FD7">
        <w:trPr>
          <w:jc w:val="center"/>
        </w:trPr>
        <w:tc>
          <w:tcPr>
            <w:tcW w:w="1169" w:type="dxa"/>
          </w:tcPr>
          <w:p w14:paraId="6DA9D4DD" w14:textId="77777777"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3</w:t>
            </w:r>
          </w:p>
        </w:tc>
        <w:tc>
          <w:tcPr>
            <w:tcW w:w="4922" w:type="dxa"/>
          </w:tcPr>
          <w:p w14:paraId="27582483" w14:textId="4B5A48E6" w:rsidR="00380936" w:rsidRPr="00033FD7" w:rsidRDefault="00806A4B" w:rsidP="008638CA">
            <w:pPr>
              <w:pStyle w:val="Style9"/>
              <w:tabs>
                <w:tab w:val="left" w:pos="284"/>
                <w:tab w:val="left" w:pos="426"/>
              </w:tabs>
              <w:kinsoku w:val="0"/>
              <w:autoSpaceDE/>
              <w:autoSpaceDN/>
              <w:spacing w:before="0" w:line="276" w:lineRule="auto"/>
              <w:ind w:right="0"/>
              <w:rPr>
                <w:sz w:val="20"/>
                <w:szCs w:val="20"/>
                <w:lang w:val="es-ES"/>
              </w:rPr>
            </w:pPr>
            <w:r>
              <w:rPr>
                <w:sz w:val="20"/>
                <w:szCs w:val="20"/>
                <w:lang w:val="es-CR"/>
              </w:rPr>
              <w:t>000</w:t>
            </w:r>
          </w:p>
        </w:tc>
        <w:tc>
          <w:tcPr>
            <w:tcW w:w="567" w:type="dxa"/>
          </w:tcPr>
          <w:p w14:paraId="4D674328" w14:textId="5EE6ABA3"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3</w:t>
            </w:r>
          </w:p>
        </w:tc>
      </w:tr>
      <w:tr w:rsidR="00380936" w:rsidRPr="00033FD7" w14:paraId="34DDD8DC" w14:textId="0D883D16" w:rsidTr="00033FD7">
        <w:trPr>
          <w:jc w:val="center"/>
        </w:trPr>
        <w:tc>
          <w:tcPr>
            <w:tcW w:w="1169" w:type="dxa"/>
          </w:tcPr>
          <w:p w14:paraId="1933D4CF" w14:textId="77777777" w:rsidR="00380936" w:rsidRPr="00033FD7" w:rsidRDefault="00380936" w:rsidP="008638CA">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4</w:t>
            </w:r>
          </w:p>
        </w:tc>
        <w:tc>
          <w:tcPr>
            <w:tcW w:w="4922" w:type="dxa"/>
          </w:tcPr>
          <w:p w14:paraId="7477D972" w14:textId="7A7EE6CA" w:rsidR="00380936" w:rsidRPr="00033FD7" w:rsidRDefault="00806A4B" w:rsidP="008638CA">
            <w:pPr>
              <w:pStyle w:val="Style9"/>
              <w:tabs>
                <w:tab w:val="left" w:pos="284"/>
                <w:tab w:val="left" w:pos="426"/>
              </w:tabs>
              <w:kinsoku w:val="0"/>
              <w:autoSpaceDE/>
              <w:autoSpaceDN/>
              <w:spacing w:before="0" w:line="276" w:lineRule="auto"/>
              <w:ind w:right="0"/>
              <w:rPr>
                <w:sz w:val="20"/>
                <w:szCs w:val="20"/>
                <w:lang w:val="es-ES"/>
              </w:rPr>
            </w:pPr>
            <w:r>
              <w:rPr>
                <w:sz w:val="20"/>
                <w:szCs w:val="20"/>
                <w:lang w:val="es-ES"/>
              </w:rPr>
              <w:t>000</w:t>
            </w:r>
          </w:p>
        </w:tc>
        <w:tc>
          <w:tcPr>
            <w:tcW w:w="567" w:type="dxa"/>
          </w:tcPr>
          <w:p w14:paraId="3E9C2984" w14:textId="52536DD8"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1</w:t>
            </w:r>
          </w:p>
        </w:tc>
      </w:tr>
      <w:tr w:rsidR="00380936" w:rsidRPr="00033FD7" w14:paraId="6313EF30" w14:textId="07F19375" w:rsidTr="00033FD7">
        <w:trPr>
          <w:jc w:val="center"/>
        </w:trPr>
        <w:tc>
          <w:tcPr>
            <w:tcW w:w="1169" w:type="dxa"/>
          </w:tcPr>
          <w:p w14:paraId="54EED469" w14:textId="2870C028"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5</w:t>
            </w:r>
          </w:p>
        </w:tc>
        <w:tc>
          <w:tcPr>
            <w:tcW w:w="4922" w:type="dxa"/>
          </w:tcPr>
          <w:p w14:paraId="6957A9A4" w14:textId="7F6D96CB" w:rsidR="00380936" w:rsidRPr="00033FD7" w:rsidRDefault="00806A4B" w:rsidP="00380936">
            <w:pPr>
              <w:pStyle w:val="Style9"/>
              <w:tabs>
                <w:tab w:val="left" w:pos="284"/>
                <w:tab w:val="left" w:pos="426"/>
              </w:tabs>
              <w:kinsoku w:val="0"/>
              <w:autoSpaceDE/>
              <w:autoSpaceDN/>
              <w:spacing w:before="0" w:line="276" w:lineRule="auto"/>
              <w:ind w:right="0"/>
              <w:rPr>
                <w:sz w:val="20"/>
                <w:szCs w:val="20"/>
                <w:lang w:val="es-CR"/>
              </w:rPr>
            </w:pPr>
            <w:r>
              <w:rPr>
                <w:sz w:val="20"/>
                <w:szCs w:val="20"/>
                <w:lang w:val="es-CR"/>
              </w:rPr>
              <w:t>000</w:t>
            </w:r>
          </w:p>
        </w:tc>
        <w:tc>
          <w:tcPr>
            <w:tcW w:w="567" w:type="dxa"/>
          </w:tcPr>
          <w:p w14:paraId="59B2B590" w14:textId="65A9EB4E"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1</w:t>
            </w:r>
          </w:p>
        </w:tc>
      </w:tr>
      <w:tr w:rsidR="00380936" w:rsidRPr="00033FD7" w14:paraId="6E5AB222" w14:textId="37EC28C9" w:rsidTr="00033FD7">
        <w:trPr>
          <w:jc w:val="center"/>
        </w:trPr>
        <w:tc>
          <w:tcPr>
            <w:tcW w:w="1169" w:type="dxa"/>
            <w:tcBorders>
              <w:bottom w:val="single" w:sz="4" w:space="0" w:color="auto"/>
            </w:tcBorders>
          </w:tcPr>
          <w:p w14:paraId="269D3D8E" w14:textId="0888977A"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lang w:val="es-ES"/>
              </w:rPr>
            </w:pPr>
            <w:r w:rsidRPr="00033FD7">
              <w:rPr>
                <w:b/>
                <w:bCs/>
                <w:sz w:val="20"/>
                <w:szCs w:val="20"/>
                <w:lang w:val="es-ES"/>
              </w:rPr>
              <w:t>6</w:t>
            </w:r>
          </w:p>
        </w:tc>
        <w:tc>
          <w:tcPr>
            <w:tcW w:w="4922" w:type="dxa"/>
          </w:tcPr>
          <w:p w14:paraId="794F32BF" w14:textId="10585784" w:rsidR="00380936" w:rsidRPr="00033FD7" w:rsidRDefault="00806A4B" w:rsidP="00380936">
            <w:pPr>
              <w:pStyle w:val="Style9"/>
              <w:tabs>
                <w:tab w:val="left" w:pos="284"/>
                <w:tab w:val="left" w:pos="426"/>
              </w:tabs>
              <w:kinsoku w:val="0"/>
              <w:autoSpaceDE/>
              <w:autoSpaceDN/>
              <w:spacing w:before="0" w:line="276" w:lineRule="auto"/>
              <w:ind w:right="0"/>
              <w:rPr>
                <w:sz w:val="20"/>
                <w:szCs w:val="20"/>
                <w:lang w:val="es-CR"/>
              </w:rPr>
            </w:pPr>
            <w:r>
              <w:rPr>
                <w:sz w:val="20"/>
                <w:szCs w:val="20"/>
              </w:rPr>
              <w:t>000</w:t>
            </w:r>
          </w:p>
        </w:tc>
        <w:tc>
          <w:tcPr>
            <w:tcW w:w="567" w:type="dxa"/>
          </w:tcPr>
          <w:p w14:paraId="79E567D4" w14:textId="42B5087F"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1</w:t>
            </w:r>
          </w:p>
        </w:tc>
      </w:tr>
      <w:tr w:rsidR="00380936" w:rsidRPr="00033FD7" w14:paraId="39868825" w14:textId="77777777" w:rsidTr="00033FD7">
        <w:trPr>
          <w:jc w:val="center"/>
        </w:trPr>
        <w:tc>
          <w:tcPr>
            <w:tcW w:w="1169" w:type="dxa"/>
            <w:tcBorders>
              <w:bottom w:val="single" w:sz="4" w:space="0" w:color="auto"/>
            </w:tcBorders>
          </w:tcPr>
          <w:p w14:paraId="0233EF8B" w14:textId="77777777"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lang w:val="es-ES"/>
              </w:rPr>
            </w:pPr>
          </w:p>
        </w:tc>
        <w:tc>
          <w:tcPr>
            <w:tcW w:w="4922" w:type="dxa"/>
            <w:tcBorders>
              <w:bottom w:val="single" w:sz="4" w:space="0" w:color="auto"/>
            </w:tcBorders>
          </w:tcPr>
          <w:p w14:paraId="1D7955A8" w14:textId="0735F339" w:rsidR="00380936" w:rsidRPr="00033FD7" w:rsidRDefault="00380936" w:rsidP="00380936">
            <w:pPr>
              <w:pStyle w:val="Style9"/>
              <w:tabs>
                <w:tab w:val="left" w:pos="284"/>
                <w:tab w:val="left" w:pos="426"/>
              </w:tabs>
              <w:kinsoku w:val="0"/>
              <w:autoSpaceDE/>
              <w:autoSpaceDN/>
              <w:spacing w:before="0" w:line="276" w:lineRule="auto"/>
              <w:ind w:right="0"/>
              <w:rPr>
                <w:sz w:val="20"/>
                <w:szCs w:val="20"/>
              </w:rPr>
            </w:pPr>
            <w:r w:rsidRPr="00033FD7">
              <w:rPr>
                <w:sz w:val="20"/>
                <w:szCs w:val="20"/>
              </w:rPr>
              <w:t>Sumatoria</w:t>
            </w:r>
          </w:p>
        </w:tc>
        <w:tc>
          <w:tcPr>
            <w:tcW w:w="567" w:type="dxa"/>
          </w:tcPr>
          <w:p w14:paraId="52D7BD50" w14:textId="2E91C081" w:rsidR="00380936" w:rsidRPr="00033FD7" w:rsidRDefault="00380936" w:rsidP="00380936">
            <w:pPr>
              <w:pStyle w:val="Style9"/>
              <w:tabs>
                <w:tab w:val="left" w:pos="284"/>
                <w:tab w:val="left" w:pos="426"/>
              </w:tabs>
              <w:kinsoku w:val="0"/>
              <w:autoSpaceDE/>
              <w:autoSpaceDN/>
              <w:spacing w:before="0" w:line="276" w:lineRule="auto"/>
              <w:ind w:right="0"/>
              <w:jc w:val="center"/>
              <w:rPr>
                <w:sz w:val="20"/>
                <w:szCs w:val="20"/>
                <w:lang w:val="es-CR"/>
              </w:rPr>
            </w:pPr>
            <w:r w:rsidRPr="00033FD7">
              <w:rPr>
                <w:sz w:val="20"/>
                <w:szCs w:val="20"/>
                <w:lang w:val="es-CR"/>
              </w:rPr>
              <w:t>20</w:t>
            </w:r>
          </w:p>
        </w:tc>
      </w:tr>
      <w:tr w:rsidR="00380936" w:rsidRPr="00033FD7" w14:paraId="4D4E1944" w14:textId="77777777" w:rsidTr="00033FD7">
        <w:trPr>
          <w:jc w:val="center"/>
        </w:trPr>
        <w:tc>
          <w:tcPr>
            <w:tcW w:w="1169" w:type="dxa"/>
            <w:tcBorders>
              <w:top w:val="single" w:sz="4" w:space="0" w:color="auto"/>
              <w:left w:val="nil"/>
              <w:bottom w:val="nil"/>
              <w:right w:val="single" w:sz="4" w:space="0" w:color="auto"/>
            </w:tcBorders>
          </w:tcPr>
          <w:p w14:paraId="261815C0" w14:textId="77777777"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lang w:val="es-ES"/>
              </w:rPr>
            </w:pPr>
          </w:p>
        </w:tc>
        <w:tc>
          <w:tcPr>
            <w:tcW w:w="4922" w:type="dxa"/>
            <w:tcBorders>
              <w:left w:val="single" w:sz="4" w:space="0" w:color="auto"/>
            </w:tcBorders>
          </w:tcPr>
          <w:p w14:paraId="05072B77" w14:textId="59F3406D"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rPr>
            </w:pPr>
            <w:r w:rsidRPr="00033FD7">
              <w:rPr>
                <w:b/>
                <w:bCs/>
                <w:sz w:val="20"/>
                <w:szCs w:val="20"/>
              </w:rPr>
              <w:t>Flota Optimizada</w:t>
            </w:r>
          </w:p>
        </w:tc>
        <w:tc>
          <w:tcPr>
            <w:tcW w:w="567" w:type="dxa"/>
          </w:tcPr>
          <w:p w14:paraId="7F1B16FE" w14:textId="26976FAE" w:rsidR="00380936" w:rsidRPr="00033FD7" w:rsidRDefault="00380936" w:rsidP="00380936">
            <w:pPr>
              <w:pStyle w:val="Style9"/>
              <w:tabs>
                <w:tab w:val="left" w:pos="284"/>
                <w:tab w:val="left" w:pos="426"/>
              </w:tabs>
              <w:kinsoku w:val="0"/>
              <w:autoSpaceDE/>
              <w:autoSpaceDN/>
              <w:spacing w:before="0" w:line="276" w:lineRule="auto"/>
              <w:ind w:right="0"/>
              <w:jc w:val="center"/>
              <w:rPr>
                <w:b/>
                <w:bCs/>
                <w:sz w:val="20"/>
                <w:szCs w:val="20"/>
                <w:lang w:val="es-CR"/>
              </w:rPr>
            </w:pPr>
            <w:r w:rsidRPr="00033FD7">
              <w:rPr>
                <w:b/>
                <w:bCs/>
                <w:sz w:val="20"/>
                <w:szCs w:val="20"/>
                <w:lang w:val="es-CR"/>
              </w:rPr>
              <w:t>19</w:t>
            </w:r>
          </w:p>
        </w:tc>
      </w:tr>
    </w:tbl>
    <w:p w14:paraId="148AD9DF" w14:textId="40F698DD" w:rsidR="00380936" w:rsidRDefault="00380936" w:rsidP="00961540">
      <w:pPr>
        <w:pStyle w:val="NormalWeb"/>
        <w:spacing w:before="0" w:beforeAutospacing="0" w:after="0" w:afterAutospacing="0" w:line="276" w:lineRule="auto"/>
        <w:jc w:val="both"/>
        <w:rPr>
          <w:color w:val="000000" w:themeColor="text1"/>
        </w:rPr>
      </w:pPr>
    </w:p>
    <w:p w14:paraId="6D78F521" w14:textId="77777777" w:rsidR="00794F69" w:rsidRDefault="00794F69" w:rsidP="00150A84">
      <w:pPr>
        <w:jc w:val="both"/>
        <w:rPr>
          <w:color w:val="000000" w:themeColor="text1"/>
        </w:rPr>
      </w:pPr>
    </w:p>
    <w:p w14:paraId="23C255F5" w14:textId="4A236E8E" w:rsidR="00150A84" w:rsidRDefault="00033FD7" w:rsidP="00033FD7">
      <w:pPr>
        <w:spacing w:line="276" w:lineRule="auto"/>
        <w:jc w:val="both"/>
        <w:rPr>
          <w:bCs/>
          <w:i/>
          <w:iCs/>
          <w:color w:val="000000" w:themeColor="text1"/>
          <w:lang w:val="es-CR"/>
        </w:rPr>
      </w:pPr>
      <w:r>
        <w:rPr>
          <w:color w:val="000000" w:themeColor="text1"/>
        </w:rPr>
        <w:lastRenderedPageBreak/>
        <w:t xml:space="preserve">Afirma la recurrente en sus alegatos que </w:t>
      </w:r>
      <w:r w:rsidR="00150A84" w:rsidRPr="00150A84">
        <w:rPr>
          <w:color w:val="000000" w:themeColor="text1"/>
        </w:rPr>
        <w:t>«</w:t>
      </w:r>
      <w:r w:rsidR="00150A84" w:rsidRPr="00033FD7">
        <w:rPr>
          <w:bCs/>
          <w:i/>
          <w:iCs/>
          <w:lang w:val="es-CR"/>
        </w:rPr>
        <w:t xml:space="preserve">los ramales </w:t>
      </w:r>
      <w:r w:rsidR="00806A4B">
        <w:rPr>
          <w:bCs/>
          <w:i/>
          <w:iCs/>
          <w:smallCaps/>
          <w:lang w:val="es-CR"/>
        </w:rPr>
        <w:t>000</w:t>
      </w:r>
      <w:r w:rsidR="00150A84" w:rsidRPr="00033FD7">
        <w:rPr>
          <w:bCs/>
          <w:i/>
          <w:iCs/>
          <w:smallCaps/>
          <w:lang w:val="es-CR"/>
        </w:rPr>
        <w:t xml:space="preserve"> -</w:t>
      </w:r>
      <w:r w:rsidR="00806A4B">
        <w:rPr>
          <w:bCs/>
          <w:i/>
          <w:iCs/>
          <w:smallCaps/>
          <w:lang w:val="es-CR"/>
        </w:rPr>
        <w:t>000</w:t>
      </w:r>
      <w:r w:rsidR="00150A84" w:rsidRPr="00033FD7">
        <w:rPr>
          <w:bCs/>
          <w:i/>
          <w:iCs/>
          <w:lang w:val="es-CR"/>
        </w:rPr>
        <w:t>, solamente se ocupa una (1) unidad, de acuerdo al rol de horarios y que estiman que se puede brindar con los recorridos autorizados, indicando que por la emergencia nacional de la pandemia del COVID 19 y la reducción en sus ingresos no pueden adquirir 2 nuevas unidades, por lo que solo cuentan con 17</w:t>
      </w:r>
      <w:r w:rsidR="00C8676D">
        <w:rPr>
          <w:bCs/>
          <w:i/>
          <w:iCs/>
          <w:lang w:val="es-CR"/>
        </w:rPr>
        <w:t xml:space="preserve">. También señala que </w:t>
      </w:r>
      <w:r w:rsidR="00C8676D" w:rsidRPr="00C8676D">
        <w:rPr>
          <w:bCs/>
          <w:i/>
          <w:iCs/>
        </w:rPr>
        <w:t xml:space="preserve">de acuerdo a los mapas de los recorridos se demuestra que son un solo corredor y que no se ocupan 3 unidades para brindar servicio en estos ramales, que en el cuadro de los kilometrajes a líneas 4, 5 y 6 referente a los ramales </w:t>
      </w:r>
      <w:r w:rsidR="00806A4B">
        <w:rPr>
          <w:bCs/>
          <w:i/>
          <w:iCs/>
          <w:smallCaps/>
          <w:lang w:val="es-CR"/>
        </w:rPr>
        <w:t>000</w:t>
      </w:r>
      <w:r w:rsidR="00C8676D" w:rsidRPr="00C8676D">
        <w:rPr>
          <w:bCs/>
          <w:i/>
          <w:iCs/>
          <w:smallCaps/>
          <w:lang w:val="es-CR"/>
        </w:rPr>
        <w:t xml:space="preserve"> -</w:t>
      </w:r>
      <w:r w:rsidR="00806A4B">
        <w:rPr>
          <w:bCs/>
          <w:i/>
          <w:iCs/>
          <w:smallCaps/>
          <w:lang w:val="es-CR"/>
        </w:rPr>
        <w:t>000</w:t>
      </w:r>
      <w:r w:rsidR="00C8676D" w:rsidRPr="00C8676D">
        <w:rPr>
          <w:bCs/>
          <w:i/>
          <w:iCs/>
          <w:smallCaps/>
          <w:lang w:val="es-CR"/>
        </w:rPr>
        <w:t xml:space="preserve">, </w:t>
      </w:r>
      <w:r w:rsidR="00C8676D" w:rsidRPr="00C8676D">
        <w:rPr>
          <w:bCs/>
          <w:i/>
          <w:iCs/>
        </w:rPr>
        <w:t>se observan sus kilometrajes,</w:t>
      </w:r>
      <w:r w:rsidR="00C8676D" w:rsidRPr="00C8676D">
        <w:rPr>
          <w:bCs/>
          <w:i/>
          <w:iCs/>
          <w:lang w:val="es-CR"/>
        </w:rPr>
        <w:t xml:space="preserve"> </w:t>
      </w:r>
      <w:r w:rsidR="00C8676D" w:rsidRPr="00C8676D">
        <w:rPr>
          <w:bCs/>
          <w:i/>
          <w:iCs/>
        </w:rPr>
        <w:t>por lo que considera que aumentar a 19 unidades la flota óptima sería innecesario, más en los tiempos de pandemia por COVID 19; ante lo cual, peticiona que se declare con lugar el recurso, se deje sin efecto parcialmente el informe técnico CTP-DT-DING-INF-0235-2021, en lo que se refiere al aumento de flota óptima; y se autorice un total de 17 unidades</w:t>
      </w:r>
      <w:r w:rsidR="00150A84">
        <w:rPr>
          <w:bCs/>
          <w:i/>
          <w:iCs/>
          <w:color w:val="000000" w:themeColor="text1"/>
          <w:lang w:val="es-CR"/>
        </w:rPr>
        <w:t>»</w:t>
      </w:r>
    </w:p>
    <w:p w14:paraId="664282D9" w14:textId="20A2BA04" w:rsidR="00033FD7" w:rsidRDefault="00033FD7" w:rsidP="00033FD7">
      <w:pPr>
        <w:spacing w:line="276" w:lineRule="auto"/>
        <w:jc w:val="both"/>
        <w:rPr>
          <w:bCs/>
          <w:i/>
          <w:iCs/>
          <w:color w:val="000000" w:themeColor="text1"/>
          <w:lang w:val="es-CR"/>
        </w:rPr>
      </w:pPr>
    </w:p>
    <w:p w14:paraId="0F1F8A01" w14:textId="05BC55DD" w:rsidR="00033FD7" w:rsidRDefault="00C8676D" w:rsidP="00033FD7">
      <w:pPr>
        <w:pStyle w:val="NormalWeb"/>
        <w:spacing w:before="0" w:beforeAutospacing="0" w:after="0" w:afterAutospacing="0" w:line="276" w:lineRule="auto"/>
        <w:jc w:val="both"/>
        <w:rPr>
          <w:color w:val="000000" w:themeColor="text1"/>
        </w:rPr>
      </w:pPr>
      <w:r>
        <w:rPr>
          <w:color w:val="000000" w:themeColor="text1"/>
        </w:rPr>
        <w:t>Al respecto, e</w:t>
      </w:r>
      <w:r w:rsidR="00033FD7">
        <w:rPr>
          <w:color w:val="000000" w:themeColor="text1"/>
        </w:rPr>
        <w:t xml:space="preserve">l Departamento de Ingeniería del CTP, en el apartado 5 de su informe, referido al Estudio de demanda que los ramales de </w:t>
      </w:r>
      <w:r w:rsidR="00806A4B">
        <w:rPr>
          <w:color w:val="000000" w:themeColor="text1"/>
        </w:rPr>
        <w:t>000</w:t>
      </w:r>
      <w:r w:rsidR="00033FD7">
        <w:rPr>
          <w:color w:val="000000" w:themeColor="text1"/>
        </w:rPr>
        <w:t xml:space="preserve"> y </w:t>
      </w:r>
      <w:r w:rsidR="00806A4B">
        <w:rPr>
          <w:color w:val="000000" w:themeColor="text1"/>
        </w:rPr>
        <w:t>000</w:t>
      </w:r>
      <w:r w:rsidR="00033FD7">
        <w:rPr>
          <w:color w:val="000000" w:themeColor="text1"/>
        </w:rPr>
        <w:t xml:space="preserve">, - </w:t>
      </w:r>
      <w:r w:rsidR="00806A4B">
        <w:rPr>
          <w:color w:val="000000" w:themeColor="text1"/>
        </w:rPr>
        <w:t>000</w:t>
      </w:r>
      <w:r w:rsidR="00033FD7">
        <w:rPr>
          <w:color w:val="000000" w:themeColor="text1"/>
        </w:rPr>
        <w:t xml:space="preserve"> no fueron analizados dentro del informe realizado por el Organismo de Inspección acreditado ante el ECA, por lo tanto, no se presenta el estudio de demanda para esos ramales</w:t>
      </w:r>
      <w:r>
        <w:rPr>
          <w:color w:val="000000" w:themeColor="text1"/>
        </w:rPr>
        <w:t xml:space="preserve">, ante lo cual, la Junta Directiva del Concejo de Transporte Público, en el conocimiento del recurso de revocatoria, considera según lo indicado en Informe CTP-AJ-OF-2021-1372, emitido por la Dirección de Asuntos Jurídicos, determina que no se tiene un estudio técnico que respalde la actualización de estos 2 ramales, e incluso que en el informe de presentado por la empresa ya indica que se requieren 18 </w:t>
      </w:r>
      <w:r w:rsidR="00CB2472">
        <w:rPr>
          <w:color w:val="000000" w:themeColor="text1"/>
        </w:rPr>
        <w:t>unidades</w:t>
      </w:r>
      <w:r>
        <w:rPr>
          <w:color w:val="000000" w:themeColor="text1"/>
        </w:rPr>
        <w:t xml:space="preserve"> y no 17 </w:t>
      </w:r>
      <w:r w:rsidR="00CB2472">
        <w:rPr>
          <w:color w:val="000000" w:themeColor="text1"/>
        </w:rPr>
        <w:t>como peticiona, lo que va en contra del estudio técnico presentado por ella misma.</w:t>
      </w:r>
      <w:r>
        <w:rPr>
          <w:color w:val="000000" w:themeColor="text1"/>
        </w:rPr>
        <w:t xml:space="preserve"> </w:t>
      </w:r>
    </w:p>
    <w:p w14:paraId="1B239611" w14:textId="268EBD63" w:rsidR="00150A84" w:rsidRDefault="00150A84" w:rsidP="00961540">
      <w:pPr>
        <w:pStyle w:val="NormalWeb"/>
        <w:spacing w:before="0" w:beforeAutospacing="0" w:after="0" w:afterAutospacing="0" w:line="276" w:lineRule="auto"/>
        <w:jc w:val="both"/>
        <w:rPr>
          <w:color w:val="000000" w:themeColor="text1"/>
          <w:lang w:val="es-CR"/>
        </w:rPr>
      </w:pPr>
    </w:p>
    <w:p w14:paraId="555DD019" w14:textId="77777777" w:rsidR="00295086" w:rsidRDefault="00295086" w:rsidP="00CB2472">
      <w:pPr>
        <w:pStyle w:val="NormalWeb"/>
        <w:spacing w:before="0" w:beforeAutospacing="0" w:after="0" w:afterAutospacing="0" w:line="276" w:lineRule="auto"/>
        <w:jc w:val="both"/>
        <w:rPr>
          <w:color w:val="000000" w:themeColor="text1"/>
        </w:rPr>
      </w:pPr>
    </w:p>
    <w:p w14:paraId="3377AD18" w14:textId="712B652E" w:rsidR="00295086" w:rsidRPr="00295086" w:rsidRDefault="00295086" w:rsidP="00295086">
      <w:pPr>
        <w:pStyle w:val="NormalWeb"/>
        <w:spacing w:before="0" w:beforeAutospacing="0" w:after="0" w:afterAutospacing="0" w:line="276" w:lineRule="auto"/>
        <w:jc w:val="both"/>
        <w:rPr>
          <w:i/>
          <w:iCs/>
          <w:color w:val="000000" w:themeColor="text1"/>
        </w:rPr>
      </w:pPr>
      <w:r w:rsidRPr="00295086">
        <w:rPr>
          <w:color w:val="000000" w:themeColor="text1"/>
        </w:rPr>
        <w:t xml:space="preserve">Tal y como lo indica la Dirección de Asuntos Jurídicos, en el citado Informe, </w:t>
      </w:r>
      <w:r w:rsidRPr="00295086">
        <w:rPr>
          <w:i/>
          <w:iCs/>
          <w:color w:val="000000" w:themeColor="text1"/>
        </w:rPr>
        <w:t xml:space="preserve">"...Básicamente la intención del recurso es con el fin de que se deje sin efecto parcialmente en lo que se refiere al aumento de flota óptima, realizando una adición al informe CTP-DING-INF-02352021, autorizando un total de 17 unidades, es decir dos unidades menos de las aprobadas, con respecto a este punto es importante enfatizar que lo manifestado por el Departamento de Ingeniería en el sentido de que cuando realizaron el estudio (CTP-DING-INF-0235-2021) lo realizaron basándose en la información aportada por la misma empresa </w:t>
      </w:r>
      <w:r w:rsidR="00806A4B">
        <w:rPr>
          <w:i/>
          <w:iCs/>
          <w:color w:val="000000" w:themeColor="text1"/>
        </w:rPr>
        <w:t>TPCQ</w:t>
      </w:r>
      <w:r w:rsidRPr="00295086">
        <w:rPr>
          <w:i/>
          <w:iCs/>
          <w:color w:val="000000" w:themeColor="text1"/>
        </w:rPr>
        <w:t xml:space="preserve"> S.A., mediante el informe realizado por el Organismo de Inspección Acreditado ante el ECA, por lo que basándose en esa información se actualizó la información operativa, las frecuencias, las distancias, entre otros.</w:t>
      </w:r>
      <w:r>
        <w:rPr>
          <w:i/>
          <w:iCs/>
          <w:color w:val="000000" w:themeColor="text1"/>
        </w:rPr>
        <w:t>”</w:t>
      </w:r>
    </w:p>
    <w:p w14:paraId="6127CA15" w14:textId="77777777" w:rsidR="00295086" w:rsidRDefault="00295086" w:rsidP="00CB2472">
      <w:pPr>
        <w:pStyle w:val="NormalWeb"/>
        <w:spacing w:before="0" w:beforeAutospacing="0" w:after="0" w:afterAutospacing="0" w:line="276" w:lineRule="auto"/>
        <w:jc w:val="both"/>
        <w:rPr>
          <w:color w:val="000000" w:themeColor="text1"/>
        </w:rPr>
      </w:pPr>
    </w:p>
    <w:p w14:paraId="73ED79E9" w14:textId="77777777" w:rsidR="00295086" w:rsidRDefault="00295086" w:rsidP="00295086">
      <w:pPr>
        <w:spacing w:after="281"/>
        <w:ind w:left="24" w:right="86"/>
        <w:jc w:val="both"/>
      </w:pPr>
      <w:r>
        <w:t>Nótese que en el Informe Técnico de Actualización de Variables" aportado por la recurrente, indica -a folio 77 del expediente administrativo TAT-068-22 (folio 20 del informe citado)-, se indica expresamente lo que de seguido se transcribe:</w:t>
      </w:r>
    </w:p>
    <w:p w14:paraId="786AD56E" w14:textId="77777777" w:rsidR="00295086" w:rsidRDefault="00295086" w:rsidP="00FA3C2F">
      <w:pPr>
        <w:spacing w:line="252" w:lineRule="auto"/>
        <w:ind w:left="641" w:right="607" w:hanging="6"/>
        <w:jc w:val="both"/>
      </w:pPr>
      <w:r>
        <w:rPr>
          <w:sz w:val="20"/>
        </w:rPr>
        <w:t xml:space="preserve">"La cantidad de unidades autorizada, fue verificada en relación con las necesidades reales de servicio, estableciéndose para todos los efectos que las mismas son insuficientes para cubrir el </w:t>
      </w:r>
      <w:r>
        <w:rPr>
          <w:sz w:val="20"/>
        </w:rPr>
        <w:lastRenderedPageBreak/>
        <w:t xml:space="preserve">servicio público de forma óptima, por lo que se recomienda aumentar la flota optima (sic) autorizada en: </w:t>
      </w:r>
      <w:r w:rsidRPr="00FA3C2F">
        <w:rPr>
          <w:b/>
          <w:bCs/>
          <w:sz w:val="20"/>
          <w:u w:val="single" w:color="000000"/>
        </w:rPr>
        <w:t>04 UNIDADES estableciéndose una FLOTA OPTIMA FINAL DE 18 UNIDADES DE SERVICIO</w:t>
      </w:r>
      <w:r>
        <w:rPr>
          <w:sz w:val="20"/>
        </w:rPr>
        <w:t>."</w:t>
      </w:r>
    </w:p>
    <w:p w14:paraId="73FDF2FF" w14:textId="77777777" w:rsidR="00295086" w:rsidRDefault="00295086" w:rsidP="00CB2472">
      <w:pPr>
        <w:pStyle w:val="NormalWeb"/>
        <w:spacing w:before="0" w:beforeAutospacing="0" w:after="0" w:afterAutospacing="0" w:line="276" w:lineRule="auto"/>
        <w:jc w:val="both"/>
        <w:rPr>
          <w:color w:val="000000" w:themeColor="text1"/>
        </w:rPr>
      </w:pPr>
    </w:p>
    <w:p w14:paraId="618E8D8E" w14:textId="0B0530A4" w:rsidR="00CB2472" w:rsidRDefault="00CB2472" w:rsidP="00CB2472">
      <w:pPr>
        <w:pStyle w:val="NormalWeb"/>
        <w:spacing w:before="0" w:beforeAutospacing="0" w:after="0" w:afterAutospacing="0" w:line="276" w:lineRule="auto"/>
        <w:jc w:val="both"/>
        <w:rPr>
          <w:color w:val="000000" w:themeColor="text1"/>
        </w:rPr>
      </w:pPr>
      <w:r>
        <w:rPr>
          <w:color w:val="000000" w:themeColor="text1"/>
        </w:rPr>
        <w:t>Ahora bien, e</w:t>
      </w:r>
      <w:r w:rsidR="00961540" w:rsidRPr="00961540">
        <w:rPr>
          <w:color w:val="000000" w:themeColor="text1"/>
        </w:rPr>
        <w:t>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principio de  continuidad, regularidad, uniformidad, generalidad y obligatoriedad, quedando sometida a la tutela Administrativa, que desarrollará el  órgano designado por el ordenamiento jurídico</w:t>
      </w:r>
      <w:r>
        <w:rPr>
          <w:color w:val="000000" w:themeColor="text1"/>
        </w:rPr>
        <w:t>.</w:t>
      </w:r>
    </w:p>
    <w:p w14:paraId="165420E3" w14:textId="77777777" w:rsidR="00CB2472" w:rsidRDefault="00CB2472" w:rsidP="00CB2472">
      <w:pPr>
        <w:pStyle w:val="NormalWeb"/>
        <w:spacing w:before="0" w:beforeAutospacing="0" w:after="0" w:afterAutospacing="0" w:line="276" w:lineRule="auto"/>
        <w:jc w:val="both"/>
        <w:rPr>
          <w:color w:val="000000" w:themeColor="text1"/>
        </w:rPr>
      </w:pPr>
    </w:p>
    <w:p w14:paraId="0D4506AA" w14:textId="706F6B22" w:rsidR="007930C3" w:rsidRDefault="00CB2472" w:rsidP="007930C3">
      <w:pPr>
        <w:pStyle w:val="NormalWeb"/>
        <w:spacing w:before="0" w:beforeAutospacing="0" w:after="0" w:afterAutospacing="0" w:line="276" w:lineRule="auto"/>
        <w:jc w:val="both"/>
        <w:rPr>
          <w:lang w:val="es-CR"/>
        </w:rPr>
      </w:pPr>
      <w:r>
        <w:rPr>
          <w:color w:val="000000" w:themeColor="text1"/>
        </w:rPr>
        <w:t>Es así como en la especie</w:t>
      </w:r>
      <w:r w:rsidR="00961540" w:rsidRPr="00041E09">
        <w:rPr>
          <w:color w:val="000000" w:themeColor="text1"/>
        </w:rPr>
        <w:t>, este Tribunal Administrativo de Transporte</w:t>
      </w:r>
      <w:r>
        <w:rPr>
          <w:color w:val="000000" w:themeColor="text1"/>
        </w:rPr>
        <w:t>, valorando la prueba que consta en el expedien</w:t>
      </w:r>
      <w:r w:rsidR="007930C3">
        <w:rPr>
          <w:color w:val="000000" w:themeColor="text1"/>
        </w:rPr>
        <w:t>t</w:t>
      </w:r>
      <w:r>
        <w:rPr>
          <w:color w:val="000000" w:themeColor="text1"/>
        </w:rPr>
        <w:t>e</w:t>
      </w:r>
      <w:r w:rsidR="00CB3D6D">
        <w:rPr>
          <w:color w:val="000000" w:themeColor="text1"/>
        </w:rPr>
        <w:t xml:space="preserve"> y los argumentos presentado por la empresa recurrente</w:t>
      </w:r>
      <w:r>
        <w:rPr>
          <w:color w:val="000000" w:themeColor="text1"/>
        </w:rPr>
        <w:t xml:space="preserve">, </w:t>
      </w:r>
      <w:r w:rsidR="007930C3">
        <w:rPr>
          <w:color w:val="000000" w:themeColor="text1"/>
        </w:rPr>
        <w:t>arriba</w:t>
      </w:r>
      <w:r w:rsidR="00961540" w:rsidRPr="00041E09">
        <w:rPr>
          <w:color w:val="000000" w:themeColor="text1"/>
        </w:rPr>
        <w:t xml:space="preserve"> a la conclusión de que </w:t>
      </w:r>
      <w:r>
        <w:rPr>
          <w:color w:val="000000" w:themeColor="text1"/>
        </w:rPr>
        <w:t xml:space="preserve">se </w:t>
      </w:r>
      <w:r w:rsidR="00961540" w:rsidRPr="00041E09">
        <w:rPr>
          <w:color w:val="000000" w:themeColor="text1"/>
        </w:rPr>
        <w:t>est</w:t>
      </w:r>
      <w:r>
        <w:rPr>
          <w:color w:val="000000" w:themeColor="text1"/>
        </w:rPr>
        <w:t>á</w:t>
      </w:r>
      <w:r w:rsidR="00961540" w:rsidRPr="00041E09">
        <w:rPr>
          <w:color w:val="000000" w:themeColor="text1"/>
        </w:rPr>
        <w:t xml:space="preserve"> en presencia de un acto administrativo, que se basa en un informe de su órgano técnico</w:t>
      </w:r>
      <w:r>
        <w:rPr>
          <w:color w:val="000000" w:themeColor="text1"/>
        </w:rPr>
        <w:t>, respecto del cual</w:t>
      </w:r>
      <w:r w:rsidR="00CB3D6D">
        <w:rPr>
          <w:color w:val="000000" w:themeColor="text1"/>
        </w:rPr>
        <w:t>,</w:t>
      </w:r>
      <w:r>
        <w:rPr>
          <w:color w:val="000000" w:themeColor="text1"/>
        </w:rPr>
        <w:t xml:space="preserve"> la recurrente</w:t>
      </w:r>
      <w:r w:rsidR="00CB3D6D">
        <w:rPr>
          <w:color w:val="000000" w:themeColor="text1"/>
        </w:rPr>
        <w:t xml:space="preserve"> </w:t>
      </w:r>
      <w:r>
        <w:rPr>
          <w:color w:val="000000" w:themeColor="text1"/>
        </w:rPr>
        <w:t>no aporta prueba técnica que desvirtúe el informe rendido por el Departamento de Ingeniería</w:t>
      </w:r>
      <w:r w:rsidR="00CB3D6D">
        <w:rPr>
          <w:color w:val="000000" w:themeColor="text1"/>
        </w:rPr>
        <w:t xml:space="preserve">; </w:t>
      </w:r>
      <w:r w:rsidR="007930C3" w:rsidRPr="007930C3">
        <w:rPr>
          <w:color w:val="000000" w:themeColor="text1"/>
        </w:rPr>
        <w:t xml:space="preserve">sino que incluso peticiona una flota inferior a la flota recomendada por el </w:t>
      </w:r>
      <w:r w:rsidR="007930C3" w:rsidRPr="007930C3">
        <w:rPr>
          <w:color w:val="000000" w:themeColor="text1"/>
          <w:lang w:val="es-CR"/>
        </w:rPr>
        <w:t xml:space="preserve">INFORME TÉCNICO PARA LA ACTUALIZACIÓN DE VARIABLES DE LA RUTA No. </w:t>
      </w:r>
      <w:r w:rsidR="00E638B5">
        <w:rPr>
          <w:color w:val="000000" w:themeColor="text1"/>
          <w:lang w:val="es-CR"/>
        </w:rPr>
        <w:t>000</w:t>
      </w:r>
      <w:r w:rsidR="007930C3" w:rsidRPr="007930C3">
        <w:rPr>
          <w:color w:val="000000" w:themeColor="text1"/>
          <w:lang w:val="es-CR"/>
        </w:rPr>
        <w:t>-</w:t>
      </w:r>
      <w:r w:rsidR="00E638B5">
        <w:rPr>
          <w:color w:val="000000" w:themeColor="text1"/>
          <w:lang w:val="es-CR"/>
        </w:rPr>
        <w:t>000</w:t>
      </w:r>
      <w:r w:rsidR="007930C3" w:rsidRPr="007930C3">
        <w:rPr>
          <w:color w:val="000000" w:themeColor="text1"/>
          <w:lang w:val="es-CR"/>
        </w:rPr>
        <w:t xml:space="preserve"> </w:t>
      </w:r>
      <w:r w:rsidR="00E638B5">
        <w:rPr>
          <w:color w:val="000000" w:themeColor="text1"/>
          <w:lang w:val="es-CR"/>
        </w:rPr>
        <w:t>TPCQ</w:t>
      </w:r>
      <w:r w:rsidR="007930C3" w:rsidRPr="007930C3">
        <w:rPr>
          <w:color w:val="000000" w:themeColor="text1"/>
          <w:lang w:val="es-CR"/>
        </w:rPr>
        <w:t xml:space="preserve"> S.A., por ella presentado</w:t>
      </w:r>
      <w:r w:rsidR="007930C3">
        <w:rPr>
          <w:color w:val="000000" w:themeColor="text1"/>
          <w:lang w:val="es-CR"/>
        </w:rPr>
        <w:t>;</w:t>
      </w:r>
      <w:r w:rsidR="007930C3" w:rsidRPr="007930C3">
        <w:rPr>
          <w:color w:val="000000" w:themeColor="text1"/>
          <w:lang w:val="es-CR"/>
        </w:rPr>
        <w:t xml:space="preserve"> el cual adolece del estudio de técnico de actualización de los ramales</w:t>
      </w:r>
      <w:r w:rsidR="007930C3" w:rsidRPr="007930C3">
        <w:rPr>
          <w:color w:val="000000" w:themeColor="text1"/>
        </w:rPr>
        <w:t xml:space="preserve"> </w:t>
      </w:r>
      <w:r w:rsidR="00961540" w:rsidRPr="007930C3">
        <w:rPr>
          <w:color w:val="000000" w:themeColor="text1"/>
        </w:rPr>
        <w:t xml:space="preserve"> </w:t>
      </w:r>
      <w:r w:rsidR="00806A4B">
        <w:rPr>
          <w:lang w:val="es-CR"/>
        </w:rPr>
        <w:t>000</w:t>
      </w:r>
      <w:r w:rsidR="00CB3D6D">
        <w:rPr>
          <w:lang w:val="es-CR"/>
        </w:rPr>
        <w:t>.</w:t>
      </w:r>
    </w:p>
    <w:p w14:paraId="00021ECA" w14:textId="77777777" w:rsidR="007930C3" w:rsidRDefault="007930C3" w:rsidP="007930C3">
      <w:pPr>
        <w:pStyle w:val="NormalWeb"/>
        <w:spacing w:before="0" w:beforeAutospacing="0" w:after="0" w:afterAutospacing="0" w:line="276" w:lineRule="auto"/>
        <w:jc w:val="both"/>
        <w:rPr>
          <w:lang w:val="es-CR"/>
        </w:rPr>
      </w:pPr>
    </w:p>
    <w:p w14:paraId="5F23D702" w14:textId="77777777" w:rsidR="005E350A" w:rsidRPr="00961540" w:rsidRDefault="005E350A" w:rsidP="00961540">
      <w:pPr>
        <w:pStyle w:val="Textoindependiente"/>
        <w:spacing w:line="276" w:lineRule="auto"/>
        <w:rPr>
          <w:rFonts w:eastAsiaTheme="minorEastAsia"/>
          <w:b/>
          <w:color w:val="000000" w:themeColor="text1"/>
          <w:sz w:val="24"/>
          <w:szCs w:val="24"/>
          <w:lang w:eastAsia="es-CR"/>
        </w:rPr>
      </w:pPr>
      <w:r w:rsidRPr="00961540">
        <w:rPr>
          <w:rFonts w:eastAsiaTheme="minorEastAsia"/>
          <w:b/>
          <w:color w:val="000000" w:themeColor="text1"/>
          <w:sz w:val="24"/>
          <w:szCs w:val="24"/>
          <w:lang w:eastAsia="es-CR"/>
        </w:rPr>
        <w:t>POR TANTO</w:t>
      </w:r>
    </w:p>
    <w:p w14:paraId="7CFC48C1" w14:textId="77777777" w:rsidR="005E350A" w:rsidRPr="00961540" w:rsidRDefault="005E350A" w:rsidP="00961540">
      <w:pPr>
        <w:pStyle w:val="Sinespaciado"/>
        <w:spacing w:line="276" w:lineRule="auto"/>
        <w:rPr>
          <w:rFonts w:ascii="Times New Roman" w:hAnsi="Times New Roman"/>
          <w:b/>
          <w:color w:val="000000" w:themeColor="text1"/>
          <w:sz w:val="24"/>
          <w:szCs w:val="24"/>
        </w:rPr>
      </w:pPr>
    </w:p>
    <w:p w14:paraId="779B8584" w14:textId="2BC4AC6B" w:rsidR="002F5503" w:rsidRPr="00E638B5" w:rsidRDefault="005E350A" w:rsidP="00961540">
      <w:pPr>
        <w:spacing w:line="276" w:lineRule="auto"/>
        <w:jc w:val="both"/>
        <w:rPr>
          <w:sz w:val="22"/>
          <w:szCs w:val="22"/>
        </w:rPr>
      </w:pPr>
      <w:r w:rsidRPr="00961540">
        <w:rPr>
          <w:b/>
          <w:bCs/>
          <w:iCs/>
          <w:color w:val="000000" w:themeColor="text1"/>
        </w:rPr>
        <w:t>I.-</w:t>
      </w:r>
      <w:r w:rsidRPr="00961540">
        <w:rPr>
          <w:bCs/>
          <w:iCs/>
          <w:color w:val="000000" w:themeColor="text1"/>
        </w:rPr>
        <w:tab/>
        <w:t xml:space="preserve">Se </w:t>
      </w:r>
      <w:r w:rsidR="005B7283" w:rsidRPr="00961540">
        <w:rPr>
          <w:bCs/>
          <w:iCs/>
          <w:color w:val="000000" w:themeColor="text1"/>
        </w:rPr>
        <w:t xml:space="preserve">declara </w:t>
      </w:r>
      <w:r w:rsidR="00CB3D6D" w:rsidRPr="00961540">
        <w:rPr>
          <w:b/>
          <w:smallCaps/>
          <w:color w:val="000000" w:themeColor="text1"/>
        </w:rPr>
        <w:t xml:space="preserve">SIN LUGAR </w:t>
      </w:r>
      <w:r w:rsidRPr="00961540">
        <w:rPr>
          <w:bCs/>
          <w:iCs/>
          <w:color w:val="000000" w:themeColor="text1"/>
        </w:rPr>
        <w:t>el</w:t>
      </w:r>
      <w:r w:rsidRPr="00961540">
        <w:rPr>
          <w:bCs/>
          <w:iCs/>
          <w:color w:val="FF0000"/>
        </w:rPr>
        <w:t xml:space="preserve"> </w:t>
      </w:r>
      <w:r w:rsidR="00CB2472" w:rsidRPr="00961540">
        <w:rPr>
          <w:b/>
          <w:smallCaps/>
          <w:color w:val="000000" w:themeColor="text1"/>
        </w:rPr>
        <w:t>RECURSO DE APELACIÓN PARCIAL EN SUBSIDIO</w:t>
      </w:r>
      <w:r w:rsidR="005B7283" w:rsidRPr="00961540">
        <w:rPr>
          <w:b/>
          <w:smallCaps/>
          <w:color w:val="000000" w:themeColor="text1"/>
        </w:rPr>
        <w:t xml:space="preserve"> </w:t>
      </w:r>
      <w:r w:rsidR="005B7283" w:rsidRPr="00961540">
        <w:rPr>
          <w:color w:val="000000" w:themeColor="text1"/>
        </w:rPr>
        <w:t xml:space="preserve">interpuesto por </w:t>
      </w:r>
      <w:r w:rsidR="00E638B5" w:rsidRPr="00E638B5">
        <w:rPr>
          <w:b/>
          <w:smallCaps/>
        </w:rPr>
        <w:t>TPCQ</w:t>
      </w:r>
      <w:r w:rsidR="00CB2472" w:rsidRPr="00E638B5">
        <w:rPr>
          <w:b/>
          <w:smallCaps/>
        </w:rPr>
        <w:t xml:space="preserve"> </w:t>
      </w:r>
      <w:r w:rsidR="005B7283" w:rsidRPr="00E638B5">
        <w:rPr>
          <w:b/>
          <w:smallCaps/>
        </w:rPr>
        <w:t xml:space="preserve">S.A; </w:t>
      </w:r>
      <w:r w:rsidR="005B7283" w:rsidRPr="00E638B5">
        <w:t xml:space="preserve">cédula jurídica número </w:t>
      </w:r>
      <w:r w:rsidR="00E638B5" w:rsidRPr="00E638B5">
        <w:t>0-000</w:t>
      </w:r>
      <w:r w:rsidR="005B7283" w:rsidRPr="00E638B5">
        <w:t>,</w:t>
      </w:r>
      <w:r w:rsidR="005B7283" w:rsidRPr="00E638B5">
        <w:rPr>
          <w:b/>
        </w:rPr>
        <w:t xml:space="preserve"> </w:t>
      </w:r>
      <w:r w:rsidR="005B7283" w:rsidRPr="00E638B5">
        <w:t xml:space="preserve">representada por </w:t>
      </w:r>
      <w:r w:rsidR="00E638B5" w:rsidRPr="00E638B5">
        <w:rPr>
          <w:smallCaps/>
        </w:rPr>
        <w:t>LICS</w:t>
      </w:r>
      <w:r w:rsidR="005B7283" w:rsidRPr="00E638B5">
        <w:t xml:space="preserve">, cédula de identidad </w:t>
      </w:r>
      <w:r w:rsidR="00E638B5" w:rsidRPr="00E638B5">
        <w:t>0-000</w:t>
      </w:r>
      <w:r w:rsidR="005B7283" w:rsidRPr="00E638B5">
        <w:t xml:space="preserve">, en su condición de apoderada generalísima sin límite de suma; en contra del </w:t>
      </w:r>
      <w:r w:rsidR="005B7283" w:rsidRPr="00E638B5">
        <w:rPr>
          <w:b/>
        </w:rPr>
        <w:t xml:space="preserve">Artículo 3.2 de la Sesión Ordinaria 61-2021 </w:t>
      </w:r>
      <w:r w:rsidR="008D576D" w:rsidRPr="00E638B5">
        <w:rPr>
          <w:b/>
        </w:rPr>
        <w:t>de 12 de agosto de 2021</w:t>
      </w:r>
      <w:r w:rsidR="005B7283" w:rsidRPr="00E638B5">
        <w:rPr>
          <w:b/>
        </w:rPr>
        <w:t xml:space="preserve"> </w:t>
      </w:r>
      <w:r w:rsidR="005B7283" w:rsidRPr="00E638B5">
        <w:t>emitido por la Junta Directiva del Consejo de Transporte Público y su informe CTP-DT-DING-INF-235-2021.</w:t>
      </w:r>
    </w:p>
    <w:p w14:paraId="22E5787B" w14:textId="77777777" w:rsidR="005B7283" w:rsidRPr="00E638B5" w:rsidRDefault="005B7283" w:rsidP="00961540">
      <w:pPr>
        <w:pStyle w:val="Textoindependiente"/>
        <w:spacing w:line="276" w:lineRule="auto"/>
        <w:jc w:val="both"/>
        <w:rPr>
          <w:sz w:val="24"/>
          <w:szCs w:val="24"/>
        </w:rPr>
      </w:pPr>
    </w:p>
    <w:p w14:paraId="584BC53F" w14:textId="77777777" w:rsidR="005B7283" w:rsidRPr="00961540" w:rsidRDefault="005B7283" w:rsidP="00961540">
      <w:pPr>
        <w:pStyle w:val="Sinespaciado"/>
        <w:spacing w:line="276" w:lineRule="auto"/>
        <w:jc w:val="both"/>
        <w:rPr>
          <w:rFonts w:ascii="Times New Roman" w:hAnsi="Times New Roman"/>
          <w:b/>
          <w:color w:val="000000" w:themeColor="text1"/>
          <w:sz w:val="24"/>
          <w:szCs w:val="24"/>
        </w:rPr>
      </w:pPr>
      <w:r w:rsidRPr="00E638B5">
        <w:rPr>
          <w:rFonts w:ascii="Times New Roman" w:hAnsi="Times New Roman"/>
          <w:b/>
          <w:sz w:val="24"/>
          <w:szCs w:val="24"/>
        </w:rPr>
        <w:t>II</w:t>
      </w:r>
      <w:r w:rsidRPr="00E638B5">
        <w:rPr>
          <w:rFonts w:ascii="Times New Roman" w:hAnsi="Times New Roman"/>
          <w:sz w:val="24"/>
          <w:szCs w:val="24"/>
        </w:rPr>
        <w:t xml:space="preserve">.- Por carecer la presente resolución de ulterior recurso en sede administrativa, de conformidad con los artículos 16 </w:t>
      </w:r>
      <w:r w:rsidRPr="00961540">
        <w:rPr>
          <w:rFonts w:ascii="Times New Roman" w:hAnsi="Times New Roman"/>
          <w:color w:val="000000" w:themeColor="text1"/>
          <w:sz w:val="24"/>
          <w:szCs w:val="24"/>
        </w:rPr>
        <w:t xml:space="preserve">y 22, inciso c), de la Ley 7969, </w:t>
      </w:r>
      <w:r w:rsidRPr="00961540">
        <w:rPr>
          <w:rFonts w:ascii="Times New Roman" w:eastAsiaTheme="minorHAnsi" w:hAnsi="Times New Roman"/>
          <w:i/>
          <w:color w:val="000000" w:themeColor="text1"/>
          <w:sz w:val="24"/>
          <w:szCs w:val="24"/>
          <w14:shadow w14:blurRad="50800" w14:dist="38100" w14:dir="2700000" w14:sx="100000" w14:sy="100000" w14:kx="0" w14:ky="0" w14:algn="tl">
            <w14:srgbClr w14:val="000000">
              <w14:alpha w14:val="60000"/>
            </w14:srgbClr>
          </w14:shadow>
        </w:rPr>
        <w:t>se da por agotada la vía administrativa</w:t>
      </w:r>
      <w:r w:rsidRPr="00961540">
        <w:rPr>
          <w:rFonts w:ascii="Times New Roman" w:hAnsi="Times New Roman"/>
          <w:color w:val="000000" w:themeColor="text1"/>
          <w:sz w:val="24"/>
          <w:szCs w:val="24"/>
        </w:rPr>
        <w:t xml:space="preserve">.  </w:t>
      </w:r>
      <w:r w:rsidRPr="00961540">
        <w:rPr>
          <w:rFonts w:ascii="Times New Roman" w:hAnsi="Times New Roman"/>
          <w:b/>
          <w:color w:val="000000" w:themeColor="text1"/>
          <w:sz w:val="24"/>
          <w:szCs w:val="24"/>
        </w:rPr>
        <w:t xml:space="preserve"> </w:t>
      </w:r>
    </w:p>
    <w:p w14:paraId="6DDAF56C" w14:textId="77777777" w:rsidR="005B7283" w:rsidRPr="00961540" w:rsidRDefault="005B7283" w:rsidP="00961540">
      <w:pPr>
        <w:pStyle w:val="Sinespaciado"/>
        <w:spacing w:line="276" w:lineRule="auto"/>
        <w:jc w:val="both"/>
        <w:rPr>
          <w:rFonts w:ascii="Times New Roman" w:hAnsi="Times New Roman"/>
          <w:i/>
          <w:color w:val="000000" w:themeColor="text1"/>
          <w:sz w:val="24"/>
          <w:szCs w:val="24"/>
        </w:rPr>
      </w:pPr>
    </w:p>
    <w:p w14:paraId="7D01447B" w14:textId="77777777" w:rsidR="005B7283" w:rsidRPr="00961540" w:rsidRDefault="005B7283" w:rsidP="00961540">
      <w:pPr>
        <w:pStyle w:val="Sinespaciado"/>
        <w:spacing w:line="276" w:lineRule="auto"/>
        <w:jc w:val="both"/>
        <w:rPr>
          <w:rFonts w:ascii="Times New Roman" w:hAnsi="Times New Roman"/>
          <w:b/>
          <w:color w:val="000000" w:themeColor="text1"/>
          <w:sz w:val="24"/>
          <w:szCs w:val="24"/>
        </w:rPr>
      </w:pPr>
      <w:r w:rsidRPr="00961540">
        <w:rPr>
          <w:rFonts w:ascii="Times New Roman" w:hAnsi="Times New Roman"/>
          <w:b/>
          <w:color w:val="000000" w:themeColor="text1"/>
          <w:sz w:val="24"/>
          <w:szCs w:val="24"/>
        </w:rPr>
        <w:t>III.-</w:t>
      </w:r>
      <w:r w:rsidRPr="00961540">
        <w:rPr>
          <w:rFonts w:ascii="Times New Roman" w:hAnsi="Times New Roman"/>
          <w:color w:val="000000" w:themeColor="text1"/>
          <w:sz w:val="24"/>
          <w:szCs w:val="24"/>
        </w:rPr>
        <w:tab/>
        <w:t xml:space="preserve">Según las disposiciones del artículo 16 de la Ley No. 7969, rector en la materia, se recuerda que los fallos de este Tribunal </w:t>
      </w:r>
      <w:r w:rsidRPr="00961540">
        <w:rPr>
          <w:rFonts w:ascii="Times New Roman" w:eastAsiaTheme="minorHAnsi" w:hAnsi="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961540">
        <w:rPr>
          <w:rFonts w:ascii="Times New Roman" w:hAnsi="Times New Roman"/>
          <w:color w:val="000000" w:themeColor="text1"/>
          <w:sz w:val="24"/>
          <w:szCs w:val="24"/>
        </w:rPr>
        <w:t xml:space="preserve">. </w:t>
      </w:r>
      <w:r w:rsidRPr="00961540">
        <w:rPr>
          <w:rFonts w:ascii="Times New Roman" w:hAnsi="Times New Roman"/>
          <w:b/>
          <w:color w:val="000000" w:themeColor="text1"/>
          <w:sz w:val="24"/>
          <w:szCs w:val="24"/>
        </w:rPr>
        <w:t>NOTIFÍQUESE.</w:t>
      </w:r>
    </w:p>
    <w:p w14:paraId="34AD2BA7" w14:textId="77777777" w:rsidR="005B7283" w:rsidRPr="00961540" w:rsidRDefault="005B7283" w:rsidP="00961540">
      <w:pPr>
        <w:pStyle w:val="Sinespaciado"/>
        <w:spacing w:line="276" w:lineRule="auto"/>
        <w:rPr>
          <w:rFonts w:ascii="Times New Roman" w:hAnsi="Times New Roman"/>
          <w:color w:val="000000" w:themeColor="text1"/>
          <w:sz w:val="24"/>
          <w:szCs w:val="24"/>
        </w:rPr>
      </w:pPr>
    </w:p>
    <w:p w14:paraId="07C9E9E9" w14:textId="77777777" w:rsidR="005B7283" w:rsidRPr="00961540" w:rsidRDefault="005B7283" w:rsidP="00961540">
      <w:pPr>
        <w:pStyle w:val="Sinespaciado"/>
        <w:spacing w:line="276" w:lineRule="auto"/>
        <w:rPr>
          <w:rFonts w:ascii="Times New Roman" w:hAnsi="Times New Roman"/>
          <w:color w:val="000000" w:themeColor="text1"/>
          <w:sz w:val="24"/>
          <w:szCs w:val="24"/>
        </w:rPr>
      </w:pPr>
    </w:p>
    <w:p w14:paraId="681F4CEF" w14:textId="77777777" w:rsidR="005B7283" w:rsidRPr="00961540" w:rsidRDefault="005B7283" w:rsidP="00961540">
      <w:pPr>
        <w:pStyle w:val="Sinespaciado"/>
        <w:spacing w:line="276" w:lineRule="auto"/>
        <w:rPr>
          <w:rFonts w:ascii="Times New Roman" w:hAnsi="Times New Roman"/>
          <w:color w:val="000000" w:themeColor="text1"/>
          <w:sz w:val="24"/>
          <w:szCs w:val="24"/>
        </w:rPr>
      </w:pPr>
    </w:p>
    <w:p w14:paraId="13D75CFF" w14:textId="77777777" w:rsidR="005B7283" w:rsidRPr="00961540" w:rsidRDefault="005B7283" w:rsidP="00961540">
      <w:pPr>
        <w:keepNext/>
        <w:keepLines/>
        <w:jc w:val="center"/>
        <w:outlineLvl w:val="0"/>
        <w:rPr>
          <w:rFonts w:eastAsiaTheme="majorEastAsia"/>
          <w:color w:val="000000" w:themeColor="text1"/>
        </w:rPr>
      </w:pPr>
      <w:r w:rsidRPr="00961540">
        <w:rPr>
          <w:rFonts w:eastAsiaTheme="majorEastAsia"/>
          <w:color w:val="000000" w:themeColor="text1"/>
        </w:rPr>
        <w:lastRenderedPageBreak/>
        <w:t>Lic. Ronald Muñoz Corea</w:t>
      </w:r>
    </w:p>
    <w:p w14:paraId="481752E4" w14:textId="77777777" w:rsidR="005B7283" w:rsidRPr="00961540" w:rsidRDefault="005B7283" w:rsidP="00961540">
      <w:pPr>
        <w:jc w:val="center"/>
        <w:rPr>
          <w:b/>
          <w:color w:val="000000" w:themeColor="text1"/>
        </w:rPr>
      </w:pPr>
      <w:r w:rsidRPr="00961540">
        <w:rPr>
          <w:b/>
          <w:color w:val="000000" w:themeColor="text1"/>
        </w:rPr>
        <w:t>Presidente</w:t>
      </w:r>
    </w:p>
    <w:p w14:paraId="41D3CDC5" w14:textId="77777777" w:rsidR="005B7283" w:rsidRPr="00961540" w:rsidRDefault="005B7283" w:rsidP="00961540">
      <w:pPr>
        <w:jc w:val="both"/>
        <w:rPr>
          <w:color w:val="000000" w:themeColor="text1"/>
          <w:sz w:val="20"/>
          <w:szCs w:val="20"/>
        </w:rPr>
      </w:pPr>
    </w:p>
    <w:p w14:paraId="7589C958" w14:textId="77777777" w:rsidR="005B7283" w:rsidRPr="00961540" w:rsidRDefault="005B7283" w:rsidP="00961540">
      <w:pPr>
        <w:jc w:val="both"/>
        <w:rPr>
          <w:color w:val="000000" w:themeColor="text1"/>
          <w:sz w:val="20"/>
          <w:szCs w:val="20"/>
        </w:rPr>
      </w:pPr>
    </w:p>
    <w:p w14:paraId="41FE1973" w14:textId="77777777" w:rsidR="005B7283" w:rsidRPr="00961540" w:rsidRDefault="005B7283" w:rsidP="00961540">
      <w:pPr>
        <w:jc w:val="both"/>
        <w:rPr>
          <w:color w:val="000000" w:themeColor="text1"/>
          <w:sz w:val="20"/>
          <w:szCs w:val="20"/>
        </w:rPr>
      </w:pPr>
    </w:p>
    <w:p w14:paraId="4C231A95" w14:textId="77777777" w:rsidR="005B7283" w:rsidRPr="00961540" w:rsidRDefault="005B7283" w:rsidP="00961540">
      <w:pPr>
        <w:jc w:val="both"/>
        <w:rPr>
          <w:color w:val="000000" w:themeColor="text1"/>
          <w:sz w:val="20"/>
          <w:szCs w:val="20"/>
        </w:rPr>
      </w:pPr>
    </w:p>
    <w:p w14:paraId="79BF9CBE" w14:textId="77777777" w:rsidR="005B7283" w:rsidRPr="00961540" w:rsidRDefault="005B7283" w:rsidP="00961540">
      <w:pPr>
        <w:keepNext/>
        <w:keepLines/>
        <w:jc w:val="both"/>
        <w:outlineLvl w:val="0"/>
        <w:rPr>
          <w:rFonts w:eastAsiaTheme="majorEastAsia"/>
          <w:color w:val="000000" w:themeColor="text1"/>
        </w:rPr>
      </w:pPr>
      <w:r w:rsidRPr="00961540">
        <w:rPr>
          <w:rFonts w:eastAsiaTheme="majorEastAsia"/>
          <w:color w:val="000000" w:themeColor="text1"/>
        </w:rPr>
        <w:t xml:space="preserve">Licda. Maricela Villegas Herrera </w:t>
      </w:r>
      <w:r w:rsidRPr="00961540">
        <w:rPr>
          <w:rFonts w:eastAsiaTheme="majorEastAsia"/>
          <w:color w:val="000000" w:themeColor="text1"/>
        </w:rPr>
        <w:tab/>
      </w:r>
      <w:r w:rsidRPr="00961540">
        <w:rPr>
          <w:rFonts w:eastAsiaTheme="majorEastAsia"/>
          <w:color w:val="000000" w:themeColor="text1"/>
        </w:rPr>
        <w:tab/>
      </w:r>
      <w:r w:rsidRPr="00961540">
        <w:rPr>
          <w:rFonts w:eastAsiaTheme="majorEastAsia"/>
          <w:color w:val="000000" w:themeColor="text1"/>
        </w:rPr>
        <w:tab/>
        <w:t xml:space="preserve">Licda. María Susana López Rivera </w:t>
      </w:r>
      <w:r w:rsidRPr="00961540">
        <w:rPr>
          <w:rFonts w:eastAsiaTheme="majorEastAsia"/>
          <w:color w:val="000000" w:themeColor="text1"/>
        </w:rPr>
        <w:tab/>
      </w:r>
    </w:p>
    <w:p w14:paraId="46ED2454" w14:textId="77777777" w:rsidR="005B7283" w:rsidRPr="00961540" w:rsidRDefault="005B7283" w:rsidP="00961540">
      <w:pPr>
        <w:keepNext/>
        <w:keepLines/>
        <w:ind w:left="709"/>
        <w:jc w:val="both"/>
        <w:outlineLvl w:val="0"/>
        <w:rPr>
          <w:rFonts w:eastAsiaTheme="majorEastAsia"/>
          <w:b/>
          <w:color w:val="000000" w:themeColor="text1"/>
        </w:rPr>
      </w:pPr>
      <w:r w:rsidRPr="00961540">
        <w:rPr>
          <w:rFonts w:eastAsiaTheme="majorEastAsia"/>
          <w:b/>
          <w:color w:val="000000" w:themeColor="text1"/>
        </w:rPr>
        <w:t xml:space="preserve">     Jueza </w:t>
      </w:r>
      <w:r w:rsidRPr="00961540">
        <w:rPr>
          <w:rFonts w:eastAsiaTheme="majorEastAsia"/>
          <w:b/>
          <w:color w:val="000000" w:themeColor="text1"/>
        </w:rPr>
        <w:tab/>
      </w:r>
      <w:r w:rsidRPr="00961540">
        <w:rPr>
          <w:rFonts w:eastAsiaTheme="majorEastAsia"/>
          <w:b/>
          <w:color w:val="000000" w:themeColor="text1"/>
        </w:rPr>
        <w:tab/>
      </w:r>
      <w:r w:rsidRPr="00961540">
        <w:rPr>
          <w:rFonts w:eastAsiaTheme="majorEastAsia"/>
          <w:b/>
          <w:color w:val="000000" w:themeColor="text1"/>
        </w:rPr>
        <w:tab/>
      </w:r>
      <w:r w:rsidRPr="00961540">
        <w:rPr>
          <w:rFonts w:eastAsiaTheme="majorEastAsia"/>
          <w:b/>
          <w:color w:val="000000" w:themeColor="text1"/>
        </w:rPr>
        <w:tab/>
      </w:r>
      <w:r w:rsidRPr="00961540">
        <w:rPr>
          <w:rFonts w:eastAsiaTheme="majorEastAsia"/>
          <w:b/>
          <w:color w:val="000000" w:themeColor="text1"/>
        </w:rPr>
        <w:tab/>
      </w:r>
      <w:r w:rsidRPr="00961540">
        <w:rPr>
          <w:rFonts w:eastAsiaTheme="majorEastAsia"/>
          <w:b/>
          <w:color w:val="000000" w:themeColor="text1"/>
        </w:rPr>
        <w:tab/>
      </w:r>
      <w:r w:rsidRPr="00961540">
        <w:rPr>
          <w:rFonts w:eastAsiaTheme="majorEastAsia"/>
          <w:b/>
          <w:color w:val="000000" w:themeColor="text1"/>
        </w:rPr>
        <w:tab/>
        <w:t xml:space="preserve"> Jueza</w:t>
      </w:r>
    </w:p>
    <w:p w14:paraId="1297755F" w14:textId="77777777" w:rsidR="005B7283" w:rsidRPr="00961540" w:rsidRDefault="005B7283" w:rsidP="00961540">
      <w:pPr>
        <w:pStyle w:val="Sinespaciado"/>
        <w:spacing w:line="276" w:lineRule="auto"/>
        <w:jc w:val="center"/>
        <w:rPr>
          <w:rFonts w:ascii="Times New Roman" w:hAnsi="Times New Roman"/>
          <w:color w:val="000000" w:themeColor="text1"/>
          <w:sz w:val="24"/>
          <w:szCs w:val="24"/>
        </w:rPr>
      </w:pPr>
    </w:p>
    <w:sectPr w:rsidR="005B7283" w:rsidRPr="00961540" w:rsidSect="00EE70EF">
      <w:footerReference w:type="even" r:id="rId1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179F0" w14:textId="77777777" w:rsidR="00FD5FEA" w:rsidRDefault="00FD5FEA">
      <w:r>
        <w:separator/>
      </w:r>
    </w:p>
  </w:endnote>
  <w:endnote w:type="continuationSeparator" w:id="0">
    <w:p w14:paraId="5A30A4D8" w14:textId="77777777" w:rsidR="00FD5FEA" w:rsidRDefault="00FD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670E" w14:textId="5FCD5CC9" w:rsidR="001A04F4" w:rsidRDefault="001A04F4" w:rsidP="00752BC9">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652EEC">
      <w:rPr>
        <w:rStyle w:val="Nmerodepgina"/>
        <w:rFonts w:eastAsia="SimSun"/>
        <w:noProof/>
      </w:rPr>
      <w:t>1</w:t>
    </w:r>
    <w:r>
      <w:rPr>
        <w:rStyle w:val="Nmerodepgina"/>
        <w:rFonts w:eastAsia="SimSun"/>
      </w:rPr>
      <w:fldChar w:fldCharType="end"/>
    </w:r>
  </w:p>
  <w:p w14:paraId="1F13644C" w14:textId="77777777" w:rsidR="001A04F4" w:rsidRDefault="001A04F4" w:rsidP="00752BC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432E" w14:textId="77777777" w:rsidR="00FD5FEA" w:rsidRDefault="00FD5FEA">
      <w:r>
        <w:separator/>
      </w:r>
    </w:p>
  </w:footnote>
  <w:footnote w:type="continuationSeparator" w:id="0">
    <w:p w14:paraId="1C17F27B" w14:textId="77777777" w:rsidR="00FD5FEA" w:rsidRDefault="00FD5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252"/>
    <w:multiLevelType w:val="hybridMultilevel"/>
    <w:tmpl w:val="E0C20C9A"/>
    <w:lvl w:ilvl="0" w:tplc="140A0015">
      <w:start w:val="1"/>
      <w:numFmt w:val="upperLetter"/>
      <w:lvlText w:val="%1."/>
      <w:lvlJc w:val="left"/>
      <w:pPr>
        <w:ind w:left="4046" w:hanging="360"/>
      </w:pPr>
      <w:rPr>
        <w:rFonts w:hint="default"/>
        <w:b/>
        <w:color w:val="000000" w:themeColor="text1"/>
        <w:sz w:val="22"/>
        <w:szCs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42586E"/>
    <w:multiLevelType w:val="hybridMultilevel"/>
    <w:tmpl w:val="767AB546"/>
    <w:lvl w:ilvl="0" w:tplc="E79C0AA4">
      <w:start w:val="3"/>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D7573BE"/>
    <w:multiLevelType w:val="hybridMultilevel"/>
    <w:tmpl w:val="02AE171C"/>
    <w:lvl w:ilvl="0" w:tplc="DBA49D26">
      <w:start w:val="3"/>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1E8D92">
      <w:start w:val="1"/>
      <w:numFmt w:val="upperLetter"/>
      <w:lvlText w:val="%2."/>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8A1EA4">
      <w:start w:val="1"/>
      <w:numFmt w:val="lowerRoman"/>
      <w:lvlText w:val="%3"/>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0086CC">
      <w:start w:val="1"/>
      <w:numFmt w:val="decimal"/>
      <w:lvlText w:val="%4"/>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1ACD0C">
      <w:start w:val="1"/>
      <w:numFmt w:val="lowerLetter"/>
      <w:lvlText w:val="%5"/>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50E03C">
      <w:start w:val="1"/>
      <w:numFmt w:val="lowerRoman"/>
      <w:lvlText w:val="%6"/>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08412">
      <w:start w:val="1"/>
      <w:numFmt w:val="decimal"/>
      <w:lvlText w:val="%7"/>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4F1E2">
      <w:start w:val="1"/>
      <w:numFmt w:val="lowerLetter"/>
      <w:lvlText w:val="%8"/>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903004">
      <w:start w:val="1"/>
      <w:numFmt w:val="lowerRoman"/>
      <w:lvlText w:val="%9"/>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192638"/>
    <w:multiLevelType w:val="multilevel"/>
    <w:tmpl w:val="1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735614"/>
    <w:multiLevelType w:val="hybridMultilevel"/>
    <w:tmpl w:val="9272A83A"/>
    <w:lvl w:ilvl="0" w:tplc="3EDCFD7E">
      <w:start w:val="13"/>
      <w:numFmt w:val="decimal"/>
      <w:lvlText w:val="%1."/>
      <w:lvlJc w:val="left"/>
      <w:pPr>
        <w:ind w:left="757"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37922366"/>
    <w:multiLevelType w:val="hybridMultilevel"/>
    <w:tmpl w:val="97648728"/>
    <w:lvl w:ilvl="0" w:tplc="8E74760E">
      <w:start w:val="10"/>
      <w:numFmt w:val="decimal"/>
      <w:lvlText w:val="%1."/>
      <w:lvlJc w:val="left"/>
      <w:pPr>
        <w:ind w:left="757"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1FF1FA0"/>
    <w:multiLevelType w:val="hybridMultilevel"/>
    <w:tmpl w:val="3DE84572"/>
    <w:lvl w:ilvl="0" w:tplc="1D3AB41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440E0627"/>
    <w:multiLevelType w:val="hybridMultilevel"/>
    <w:tmpl w:val="D01A2BFE"/>
    <w:lvl w:ilvl="0" w:tplc="BA0279CA">
      <w:start w:val="8"/>
      <w:numFmt w:val="bullet"/>
      <w:lvlText w:val="-"/>
      <w:lvlJc w:val="left"/>
      <w:pPr>
        <w:ind w:left="720" w:hanging="360"/>
      </w:pPr>
      <w:rPr>
        <w:rFonts w:ascii="Times New Roman" w:eastAsia="Times New Roma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8453430"/>
    <w:multiLevelType w:val="hybridMultilevel"/>
    <w:tmpl w:val="A72E14DA"/>
    <w:lvl w:ilvl="0" w:tplc="B8F4E736">
      <w:start w:val="4"/>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BB434CB"/>
    <w:multiLevelType w:val="hybridMultilevel"/>
    <w:tmpl w:val="0BD43C0A"/>
    <w:lvl w:ilvl="0" w:tplc="D4DC8BBA">
      <w:start w:val="1"/>
      <w:numFmt w:val="decimal"/>
      <w:lvlText w:val="%1."/>
      <w:lvlJc w:val="left"/>
      <w:pPr>
        <w:ind w:left="757" w:hanging="360"/>
      </w:pPr>
      <w:rPr>
        <w:rFonts w:hint="default"/>
        <w:b w:val="0"/>
        <w:bCs w:val="0"/>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num w:numId="1" w16cid:durableId="716245809">
    <w:abstractNumId w:val="11"/>
  </w:num>
  <w:num w:numId="2" w16cid:durableId="1195656150">
    <w:abstractNumId w:val="9"/>
  </w:num>
  <w:num w:numId="3" w16cid:durableId="1722823239">
    <w:abstractNumId w:val="8"/>
  </w:num>
  <w:num w:numId="4" w16cid:durableId="1192571606">
    <w:abstractNumId w:val="6"/>
  </w:num>
  <w:num w:numId="5" w16cid:durableId="1734349286">
    <w:abstractNumId w:val="7"/>
  </w:num>
  <w:num w:numId="6" w16cid:durableId="1687486886">
    <w:abstractNumId w:val="5"/>
  </w:num>
  <w:num w:numId="7" w16cid:durableId="737560719">
    <w:abstractNumId w:val="4"/>
  </w:num>
  <w:num w:numId="8" w16cid:durableId="1833375731">
    <w:abstractNumId w:val="3"/>
  </w:num>
  <w:num w:numId="9" w16cid:durableId="170338262">
    <w:abstractNumId w:val="1"/>
  </w:num>
  <w:num w:numId="10" w16cid:durableId="712923858">
    <w:abstractNumId w:val="0"/>
  </w:num>
  <w:num w:numId="11" w16cid:durableId="1661889369">
    <w:abstractNumId w:val="10"/>
  </w:num>
  <w:num w:numId="12" w16cid:durableId="201479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503"/>
    <w:rsid w:val="000151AD"/>
    <w:rsid w:val="00016A37"/>
    <w:rsid w:val="000330D3"/>
    <w:rsid w:val="00033FD7"/>
    <w:rsid w:val="0004138B"/>
    <w:rsid w:val="00041E09"/>
    <w:rsid w:val="00051C6F"/>
    <w:rsid w:val="00052A64"/>
    <w:rsid w:val="000876CD"/>
    <w:rsid w:val="000A5F29"/>
    <w:rsid w:val="000F3B5C"/>
    <w:rsid w:val="0012502B"/>
    <w:rsid w:val="00150A84"/>
    <w:rsid w:val="00170F1B"/>
    <w:rsid w:val="00170FBE"/>
    <w:rsid w:val="001A04F4"/>
    <w:rsid w:val="001B0A0B"/>
    <w:rsid w:val="001B3AEF"/>
    <w:rsid w:val="001D4835"/>
    <w:rsid w:val="001E13A5"/>
    <w:rsid w:val="001E4316"/>
    <w:rsid w:val="00231180"/>
    <w:rsid w:val="002413DD"/>
    <w:rsid w:val="00246141"/>
    <w:rsid w:val="002639D5"/>
    <w:rsid w:val="00276364"/>
    <w:rsid w:val="00294150"/>
    <w:rsid w:val="00295086"/>
    <w:rsid w:val="00297C25"/>
    <w:rsid w:val="002A0E3D"/>
    <w:rsid w:val="002A79F4"/>
    <w:rsid w:val="002B7B42"/>
    <w:rsid w:val="002C2730"/>
    <w:rsid w:val="002E5B0F"/>
    <w:rsid w:val="002E5CE8"/>
    <w:rsid w:val="002F5503"/>
    <w:rsid w:val="00335B60"/>
    <w:rsid w:val="00337629"/>
    <w:rsid w:val="0034436B"/>
    <w:rsid w:val="00380936"/>
    <w:rsid w:val="00381F47"/>
    <w:rsid w:val="0038277C"/>
    <w:rsid w:val="0039206E"/>
    <w:rsid w:val="003E1FB4"/>
    <w:rsid w:val="003F2D89"/>
    <w:rsid w:val="003F5482"/>
    <w:rsid w:val="003F6A59"/>
    <w:rsid w:val="003F7DC7"/>
    <w:rsid w:val="00430262"/>
    <w:rsid w:val="00453BC2"/>
    <w:rsid w:val="00455D0F"/>
    <w:rsid w:val="004A49A5"/>
    <w:rsid w:val="004B1592"/>
    <w:rsid w:val="004E59C8"/>
    <w:rsid w:val="004F4482"/>
    <w:rsid w:val="004F4860"/>
    <w:rsid w:val="00506B7A"/>
    <w:rsid w:val="00541039"/>
    <w:rsid w:val="00545FD7"/>
    <w:rsid w:val="005539D0"/>
    <w:rsid w:val="00576668"/>
    <w:rsid w:val="00596B35"/>
    <w:rsid w:val="005B7283"/>
    <w:rsid w:val="005C66DB"/>
    <w:rsid w:val="005D44B1"/>
    <w:rsid w:val="005E350A"/>
    <w:rsid w:val="0062478C"/>
    <w:rsid w:val="00625513"/>
    <w:rsid w:val="00632599"/>
    <w:rsid w:val="00650DEA"/>
    <w:rsid w:val="00652EEC"/>
    <w:rsid w:val="00653FE3"/>
    <w:rsid w:val="00690FB6"/>
    <w:rsid w:val="006A1203"/>
    <w:rsid w:val="00720C35"/>
    <w:rsid w:val="007410A5"/>
    <w:rsid w:val="00745316"/>
    <w:rsid w:val="00752BC9"/>
    <w:rsid w:val="00777389"/>
    <w:rsid w:val="007930C3"/>
    <w:rsid w:val="00794F69"/>
    <w:rsid w:val="00795460"/>
    <w:rsid w:val="007A6420"/>
    <w:rsid w:val="007B1E43"/>
    <w:rsid w:val="007B79AC"/>
    <w:rsid w:val="00806A4B"/>
    <w:rsid w:val="00831CEF"/>
    <w:rsid w:val="008650A5"/>
    <w:rsid w:val="00890E28"/>
    <w:rsid w:val="008A2E4A"/>
    <w:rsid w:val="008A6F12"/>
    <w:rsid w:val="008B1D95"/>
    <w:rsid w:val="008D576D"/>
    <w:rsid w:val="008E434F"/>
    <w:rsid w:val="00902829"/>
    <w:rsid w:val="0090483D"/>
    <w:rsid w:val="00912433"/>
    <w:rsid w:val="0092009D"/>
    <w:rsid w:val="00923955"/>
    <w:rsid w:val="00947511"/>
    <w:rsid w:val="00947560"/>
    <w:rsid w:val="00954028"/>
    <w:rsid w:val="00961540"/>
    <w:rsid w:val="00971C98"/>
    <w:rsid w:val="0097663B"/>
    <w:rsid w:val="00996A68"/>
    <w:rsid w:val="009A04BD"/>
    <w:rsid w:val="009B33F6"/>
    <w:rsid w:val="009B639D"/>
    <w:rsid w:val="009F754C"/>
    <w:rsid w:val="00A2194F"/>
    <w:rsid w:val="00A477C4"/>
    <w:rsid w:val="00A47FB4"/>
    <w:rsid w:val="00A509B1"/>
    <w:rsid w:val="00A73100"/>
    <w:rsid w:val="00A832AA"/>
    <w:rsid w:val="00A95732"/>
    <w:rsid w:val="00AC7863"/>
    <w:rsid w:val="00AE6C05"/>
    <w:rsid w:val="00B320A7"/>
    <w:rsid w:val="00B32B21"/>
    <w:rsid w:val="00B350C5"/>
    <w:rsid w:val="00B52E53"/>
    <w:rsid w:val="00B54C3D"/>
    <w:rsid w:val="00B6766D"/>
    <w:rsid w:val="00BA360A"/>
    <w:rsid w:val="00C303E9"/>
    <w:rsid w:val="00C32A96"/>
    <w:rsid w:val="00C6010B"/>
    <w:rsid w:val="00C71E68"/>
    <w:rsid w:val="00C8676D"/>
    <w:rsid w:val="00C967BE"/>
    <w:rsid w:val="00CA530A"/>
    <w:rsid w:val="00CA641C"/>
    <w:rsid w:val="00CA7214"/>
    <w:rsid w:val="00CB2472"/>
    <w:rsid w:val="00CB3D6D"/>
    <w:rsid w:val="00CC354B"/>
    <w:rsid w:val="00CC45B2"/>
    <w:rsid w:val="00CC6EC8"/>
    <w:rsid w:val="00CD09D8"/>
    <w:rsid w:val="00CF6792"/>
    <w:rsid w:val="00D0603C"/>
    <w:rsid w:val="00D22D05"/>
    <w:rsid w:val="00D4506F"/>
    <w:rsid w:val="00D60B99"/>
    <w:rsid w:val="00D63273"/>
    <w:rsid w:val="00D6430A"/>
    <w:rsid w:val="00D8249E"/>
    <w:rsid w:val="00DA044F"/>
    <w:rsid w:val="00DC59BD"/>
    <w:rsid w:val="00DE1C76"/>
    <w:rsid w:val="00DE5693"/>
    <w:rsid w:val="00DF6D53"/>
    <w:rsid w:val="00E00E8B"/>
    <w:rsid w:val="00E16C42"/>
    <w:rsid w:val="00E62522"/>
    <w:rsid w:val="00E638B5"/>
    <w:rsid w:val="00EA205E"/>
    <w:rsid w:val="00EB3FBA"/>
    <w:rsid w:val="00EC20ED"/>
    <w:rsid w:val="00EC50EE"/>
    <w:rsid w:val="00EE3A2F"/>
    <w:rsid w:val="00EE70EF"/>
    <w:rsid w:val="00F1437D"/>
    <w:rsid w:val="00F372C3"/>
    <w:rsid w:val="00F4788E"/>
    <w:rsid w:val="00F5657C"/>
    <w:rsid w:val="00F56B96"/>
    <w:rsid w:val="00F82A68"/>
    <w:rsid w:val="00F92C24"/>
    <w:rsid w:val="00FA3C2F"/>
    <w:rsid w:val="00FD1A20"/>
    <w:rsid w:val="00FD43F1"/>
    <w:rsid w:val="00FD5FEA"/>
    <w:rsid w:val="00FD66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284F"/>
  <w15:chartTrackingRefBased/>
  <w15:docId w15:val="{8DBEF3A4-BEC9-4F0D-8050-88DF7312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0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5503"/>
    <w:pPr>
      <w:keepNext/>
      <w:jc w:val="center"/>
      <w:outlineLvl w:val="0"/>
    </w:pPr>
    <w:rPr>
      <w:sz w:val="28"/>
      <w:szCs w:val="20"/>
      <w:lang w:val="es-ES_tradnl" w:eastAsia="es-MX"/>
    </w:rPr>
  </w:style>
  <w:style w:type="paragraph" w:styleId="Ttulo2">
    <w:name w:val="heading 2"/>
    <w:basedOn w:val="Normal"/>
    <w:next w:val="Normal"/>
    <w:link w:val="Ttulo2Car"/>
    <w:qFormat/>
    <w:rsid w:val="002F550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550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F5503"/>
    <w:rPr>
      <w:rFonts w:ascii="Arial" w:eastAsia="Times New Roman" w:hAnsi="Arial" w:cs="Arial"/>
      <w:b/>
      <w:bCs/>
      <w:i/>
      <w:iCs/>
      <w:sz w:val="28"/>
      <w:szCs w:val="28"/>
      <w:lang w:val="es-ES" w:eastAsia="es-ES"/>
    </w:rPr>
  </w:style>
  <w:style w:type="paragraph" w:styleId="Piedepgina">
    <w:name w:val="footer"/>
    <w:basedOn w:val="Normal"/>
    <w:link w:val="PiedepginaCar"/>
    <w:uiPriority w:val="99"/>
    <w:rsid w:val="002F5503"/>
    <w:pPr>
      <w:tabs>
        <w:tab w:val="center" w:pos="4252"/>
        <w:tab w:val="right" w:pos="8504"/>
      </w:tabs>
    </w:pPr>
  </w:style>
  <w:style w:type="character" w:customStyle="1" w:styleId="PiedepginaCar">
    <w:name w:val="Pie de página Car"/>
    <w:basedOn w:val="Fuentedeprrafopredeter"/>
    <w:link w:val="Piedepgina"/>
    <w:uiPriority w:val="99"/>
    <w:rsid w:val="002F55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F5503"/>
  </w:style>
  <w:style w:type="paragraph" w:styleId="NormalWeb">
    <w:name w:val="Normal (Web)"/>
    <w:basedOn w:val="Normal"/>
    <w:rsid w:val="002F5503"/>
    <w:pPr>
      <w:spacing w:before="100" w:beforeAutospacing="1" w:after="100" w:afterAutospacing="1"/>
    </w:pPr>
  </w:style>
  <w:style w:type="paragraph" w:customStyle="1" w:styleId="Default">
    <w:name w:val="Default"/>
    <w:rsid w:val="000A5F2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Cuadros,figuras y gráficos,Viñetas,Bulletr List Paragraph,3,Use Case List Paragraph,FooterText,numbered,List Paragraph1,Paragraphe de liste1,列出段落,列出段落1,lp1,lp11,List Paragraph-Thesis,Párrafo de lista1,Bullet 1,Segundo nivel de viñetas"/>
    <w:basedOn w:val="Normal"/>
    <w:link w:val="PrrafodelistaCar"/>
    <w:uiPriority w:val="34"/>
    <w:qFormat/>
    <w:rsid w:val="009B639D"/>
    <w:pPr>
      <w:ind w:left="720"/>
      <w:contextualSpacing/>
    </w:pPr>
  </w:style>
  <w:style w:type="character" w:customStyle="1" w:styleId="CharacterStyle1">
    <w:name w:val="Character Style 1"/>
    <w:uiPriority w:val="99"/>
    <w:rsid w:val="00C967BE"/>
    <w:rPr>
      <w:sz w:val="24"/>
    </w:rPr>
  </w:style>
  <w:style w:type="paragraph" w:styleId="Encabezado">
    <w:name w:val="header"/>
    <w:basedOn w:val="Normal"/>
    <w:link w:val="EncabezadoCar"/>
    <w:uiPriority w:val="99"/>
    <w:unhideWhenUsed/>
    <w:rsid w:val="00C967BE"/>
    <w:pPr>
      <w:tabs>
        <w:tab w:val="center" w:pos="4419"/>
        <w:tab w:val="right" w:pos="8838"/>
      </w:tabs>
    </w:pPr>
  </w:style>
  <w:style w:type="character" w:customStyle="1" w:styleId="EncabezadoCar">
    <w:name w:val="Encabezado Car"/>
    <w:basedOn w:val="Fuentedeprrafopredeter"/>
    <w:link w:val="Encabezado"/>
    <w:uiPriority w:val="99"/>
    <w:rsid w:val="00C967B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E70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0EF"/>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E434F"/>
    <w:rPr>
      <w:color w:val="0563C1" w:themeColor="hyperlink"/>
      <w:u w:val="single"/>
    </w:rPr>
  </w:style>
  <w:style w:type="character" w:styleId="Mencinsinresolver">
    <w:name w:val="Unresolved Mention"/>
    <w:basedOn w:val="Fuentedeprrafopredeter"/>
    <w:uiPriority w:val="99"/>
    <w:semiHidden/>
    <w:unhideWhenUsed/>
    <w:rsid w:val="008E434F"/>
    <w:rPr>
      <w:color w:val="605E5C"/>
      <w:shd w:val="clear" w:color="auto" w:fill="E1DFDD"/>
    </w:rPr>
  </w:style>
  <w:style w:type="paragraph" w:styleId="Sinespaciado">
    <w:name w:val="No Spacing"/>
    <w:link w:val="SinespaciadoCar"/>
    <w:uiPriority w:val="1"/>
    <w:qFormat/>
    <w:rsid w:val="00052A64"/>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052A64"/>
    <w:rPr>
      <w:rFonts w:ascii="Calibri" w:eastAsia="Calibri" w:hAnsi="Calibri" w:cs="Times New Roman"/>
    </w:rPr>
  </w:style>
  <w:style w:type="character" w:customStyle="1" w:styleId="CharacterStyle6">
    <w:name w:val="Character Style 6"/>
    <w:uiPriority w:val="99"/>
    <w:rsid w:val="00052A64"/>
    <w:rPr>
      <w:sz w:val="20"/>
      <w:szCs w:val="20"/>
    </w:rPr>
  </w:style>
  <w:style w:type="paragraph" w:customStyle="1" w:styleId="Style9">
    <w:name w:val="Style 9"/>
    <w:basedOn w:val="Normal"/>
    <w:uiPriority w:val="99"/>
    <w:rsid w:val="00052A64"/>
    <w:pPr>
      <w:widowControl w:val="0"/>
      <w:autoSpaceDE w:val="0"/>
      <w:autoSpaceDN w:val="0"/>
      <w:spacing w:before="252"/>
      <w:ind w:right="72"/>
      <w:jc w:val="both"/>
    </w:pPr>
    <w:rPr>
      <w:rFonts w:eastAsiaTheme="minorEastAsia"/>
      <w:sz w:val="23"/>
      <w:szCs w:val="23"/>
      <w:lang w:val="en-US" w:eastAsia="es-CR"/>
    </w:rPr>
  </w:style>
  <w:style w:type="paragraph" w:styleId="Textoindependiente">
    <w:name w:val="Body Text"/>
    <w:basedOn w:val="Normal"/>
    <w:link w:val="TextoindependienteCar"/>
    <w:semiHidden/>
    <w:rsid w:val="005E350A"/>
    <w:pPr>
      <w:jc w:val="center"/>
    </w:pPr>
    <w:rPr>
      <w:sz w:val="20"/>
      <w:szCs w:val="20"/>
    </w:rPr>
  </w:style>
  <w:style w:type="character" w:customStyle="1" w:styleId="TextoindependienteCar">
    <w:name w:val="Texto independiente Car"/>
    <w:basedOn w:val="Fuentedeprrafopredeter"/>
    <w:link w:val="Textoindependiente"/>
    <w:semiHidden/>
    <w:rsid w:val="005E350A"/>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5E350A"/>
    <w:rPr>
      <w:rFonts w:ascii="Courier New" w:hAnsi="Courier New"/>
      <w:sz w:val="20"/>
      <w:szCs w:val="20"/>
    </w:rPr>
  </w:style>
  <w:style w:type="character" w:customStyle="1" w:styleId="TextosinformatoCar">
    <w:name w:val="Texto sin formato Car"/>
    <w:basedOn w:val="Fuentedeprrafopredeter"/>
    <w:link w:val="Textosinformato"/>
    <w:rsid w:val="005E350A"/>
    <w:rPr>
      <w:rFonts w:ascii="Courier New" w:eastAsia="Times New Roman" w:hAnsi="Courier New" w:cs="Times New Roman"/>
      <w:sz w:val="20"/>
      <w:szCs w:val="20"/>
      <w:lang w:val="es-ES" w:eastAsia="es-ES"/>
    </w:rPr>
  </w:style>
  <w:style w:type="character" w:customStyle="1" w:styleId="PrrafodelistaCar">
    <w:name w:val="Párrafo de lista Car"/>
    <w:aliases w:val="Cuadros Car,figuras y gráficos Car,Viñetas Car,Bulletr List Paragraph Car,3 Car,Use Case List Paragraph Car,FooterText Car,numbered Car,List Paragraph1 Car,Paragraphe de liste1 Car,列出段落 Car,列出段落1 Car,lp1 Car,lp11 Car,Bullet 1 Car"/>
    <w:link w:val="Prrafodelista"/>
    <w:uiPriority w:val="34"/>
    <w:locked/>
    <w:rsid w:val="005E350A"/>
    <w:rPr>
      <w:rFonts w:ascii="Times New Roman" w:eastAsia="Times New Roman" w:hAnsi="Times New Roman" w:cs="Times New Roman"/>
      <w:sz w:val="24"/>
      <w:szCs w:val="24"/>
      <w:lang w:val="es-ES" w:eastAsia="es-ES"/>
    </w:rPr>
  </w:style>
  <w:style w:type="paragraph" w:customStyle="1" w:styleId="noparagraphstyle">
    <w:name w:val="noparagraphstyle"/>
    <w:basedOn w:val="Normal"/>
    <w:rsid w:val="00912433"/>
    <w:pPr>
      <w:spacing w:before="100" w:beforeAutospacing="1" w:after="100" w:afterAutospacing="1"/>
      <w:jc w:val="both"/>
    </w:pPr>
    <w:rPr>
      <w:rFonts w:ascii="Verdana!important" w:eastAsia="Verdana" w:hAnsi="Verdana!important"/>
      <w:lang w:val="es-CR" w:eastAsia="es-CR"/>
    </w:rPr>
  </w:style>
  <w:style w:type="table" w:styleId="Tablaconcuadrcula">
    <w:name w:val="Table Grid"/>
    <w:basedOn w:val="Tablanormal"/>
    <w:uiPriority w:val="39"/>
    <w:rsid w:val="00F4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94F69"/>
    <w:pPr>
      <w:spacing w:after="0" w:line="240" w:lineRule="auto"/>
    </w:pPr>
    <w:rPr>
      <w:rFonts w:eastAsiaTheme="minorEastAsia"/>
      <w:lang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buseschilsaca@yahoo.com" TargetMode="External"/><Relationship Id="rId13" Type="http://schemas.openxmlformats.org/officeDocument/2006/relationships/hyperlink" Target="mailto:autobuseschilsac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buseschilsac@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tobuseschilsaca@yahoo.com" TargetMode="External"/><Relationship Id="rId4" Type="http://schemas.openxmlformats.org/officeDocument/2006/relationships/settings" Target="settings.xml"/><Relationship Id="rId9" Type="http://schemas.openxmlformats.org/officeDocument/2006/relationships/hyperlink" Target="mailto:sa@hotmail.com" TargetMode="External"/><Relationship Id="rId14" Type="http://schemas.openxmlformats.org/officeDocument/2006/relationships/hyperlink" Target="mailto:s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74FC2-C007-4DD5-ADE2-D55F7DC9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3378</Words>
  <Characters>18580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Ministerio Obras Publicas Transporte</cp:lastModifiedBy>
  <cp:revision>7</cp:revision>
  <cp:lastPrinted>2023-03-24T17:30:00Z</cp:lastPrinted>
  <dcterms:created xsi:type="dcterms:W3CDTF">2024-01-22T16:26:00Z</dcterms:created>
  <dcterms:modified xsi:type="dcterms:W3CDTF">2024-10-01T16:29:00Z</dcterms:modified>
</cp:coreProperties>
</file>